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eastAsia" w:eastAsia="黑体" w:cs="Times New Roman"/>
          <w:bCs/>
          <w:color w:val="auto"/>
          <w:sz w:val="32"/>
          <w:szCs w:val="32"/>
          <w:lang w:val="en-US" w:eastAsia="zh-CN"/>
        </w:rPr>
        <w:t>3</w:t>
      </w:r>
    </w:p>
    <w:p>
      <w:pPr>
        <w:widowControl/>
        <w:jc w:val="left"/>
        <w:rPr>
          <w:rFonts w:hint="default" w:ascii="Times New Roman" w:hAnsi="Times New Roman" w:eastAsia="仿宋_GB2312" w:cs="Times New Roman"/>
          <w:b w:val="0"/>
          <w:color w:val="auto"/>
          <w:sz w:val="44"/>
        </w:rPr>
      </w:pPr>
    </w:p>
    <w:p>
      <w:pPr>
        <w:widowControl/>
        <w:jc w:val="left"/>
        <w:rPr>
          <w:rFonts w:hint="default" w:ascii="Times New Roman" w:hAnsi="Times New Roman" w:eastAsia="仿宋_GB2312" w:cs="Times New Roman"/>
          <w:color w:val="auto"/>
          <w:sz w:val="44"/>
        </w:rPr>
      </w:pPr>
    </w:p>
    <w:p>
      <w:pPr>
        <w:widowControl/>
        <w:jc w:val="center"/>
        <w:rPr>
          <w:rFonts w:hint="default" w:ascii="Times New Roman" w:hAnsi="Times New Roman" w:eastAsia="方正小标宋_GBK" w:cs="Times New Roman"/>
          <w:bCs/>
          <w:color w:val="auto"/>
          <w:sz w:val="44"/>
        </w:rPr>
      </w:pPr>
      <w:bookmarkStart w:id="0" w:name="_GoBack"/>
      <w:r>
        <w:rPr>
          <w:rFonts w:hint="default" w:ascii="Times New Roman" w:hAnsi="Times New Roman" w:eastAsia="方正小标宋_GBK" w:cs="Times New Roman"/>
          <w:bCs/>
          <w:color w:val="auto"/>
          <w:sz w:val="44"/>
        </w:rPr>
        <w:t>XX企业</w:t>
      </w:r>
    </w:p>
    <w:p>
      <w:pPr>
        <w:widowControl/>
        <w:jc w:val="center"/>
        <w:rPr>
          <w:rFonts w:hint="default" w:ascii="Times New Roman" w:hAnsi="Times New Roman" w:eastAsia="方正小标宋简体" w:cs="Times New Roman"/>
          <w:bCs/>
          <w:color w:val="auto"/>
          <w:sz w:val="44"/>
        </w:rPr>
      </w:pPr>
      <w:r>
        <w:rPr>
          <w:rFonts w:hint="default" w:ascii="Times New Roman" w:hAnsi="Times New Roman" w:eastAsia="方正小标宋_GBK" w:cs="Times New Roman"/>
          <w:bCs/>
          <w:color w:val="auto"/>
          <w:sz w:val="44"/>
        </w:rPr>
        <w:t>水效领跑者申请报告</w:t>
      </w:r>
      <w:bookmarkEnd w:id="0"/>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方正小标宋_GBK" w:cs="Times New Roman"/>
          <w:color w:val="auto"/>
          <w:sz w:val="32"/>
        </w:rPr>
      </w:pPr>
      <w:r>
        <w:rPr>
          <w:rFonts w:hint="default" w:ascii="Times New Roman" w:hAnsi="Times New Roman" w:eastAsia="方正小标宋_GBK" w:cs="Times New Roman"/>
          <w:color w:val="auto"/>
          <w:sz w:val="32"/>
        </w:rPr>
        <w:t>202</w:t>
      </w:r>
      <w:r>
        <w:rPr>
          <w:rFonts w:hint="eastAsia" w:eastAsia="方正小标宋_GBK" w:cs="Times New Roman"/>
          <w:color w:val="auto"/>
          <w:sz w:val="32"/>
          <w:lang w:val="en-US" w:eastAsia="zh-CN"/>
        </w:rPr>
        <w:t>5</w:t>
      </w:r>
      <w:r>
        <w:rPr>
          <w:rFonts w:hint="default" w:ascii="Times New Roman" w:hAnsi="Times New Roman" w:eastAsia="方正小标宋_GBK" w:cs="Times New Roman"/>
          <w:color w:val="auto"/>
          <w:sz w:val="32"/>
        </w:rPr>
        <w:t>年X月</w:t>
      </w:r>
    </w:p>
    <w:p>
      <w:pPr>
        <w:rPr>
          <w:rFonts w:hint="default" w:ascii="Times New Roman" w:hAnsi="Times New Roman" w:cs="Times New Roman"/>
          <w:color w:val="auto"/>
        </w:rPr>
        <w:sectPr>
          <w:footerReference r:id="rId3" w:type="default"/>
          <w:pgSz w:w="11906" w:h="16838"/>
          <w:pgMar w:top="1440" w:right="1803" w:bottom="1440" w:left="1803" w:header="851" w:footer="992" w:gutter="0"/>
          <w:pgNumType w:fmt="decimal"/>
          <w:cols w:space="720" w:num="1"/>
          <w:rtlGutter w:val="0"/>
          <w:docGrid w:type="lines" w:linePitch="319" w:charSpace="0"/>
        </w:sectPr>
      </w:pPr>
    </w:p>
    <w:p>
      <w:pPr>
        <w:pStyle w:val="2"/>
        <w:rPr>
          <w:rFonts w:hint="default"/>
        </w:rPr>
      </w:pPr>
    </w:p>
    <w:p>
      <w:pPr>
        <w:widowControl/>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填写说明</w:t>
      </w:r>
    </w:p>
    <w:p>
      <w:pPr>
        <w:widowControl/>
        <w:ind w:firstLine="640" w:firstLineChars="200"/>
        <w:jc w:val="left"/>
        <w:rPr>
          <w:rFonts w:hint="default" w:ascii="Times New Roman" w:hAnsi="Times New Roman" w:eastAsia="仿宋_GB2312" w:cs="Times New Roman"/>
          <w:color w:val="auto"/>
          <w:sz w:val="32"/>
        </w:rPr>
      </w:pP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申报企业按照有关要求如实编写申请报告，并提供必要的证明材料。</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申请报告包含但不限于下列内容：</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（1）企业基本信息表</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（2）企业水效分析报告</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（3）企业自评表</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以上材料需按顺序编排，并在相应位置加盖公章。</w:t>
      </w:r>
    </w:p>
    <w:p>
      <w:pPr>
        <w:widowControl/>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 w:val="0"/>
          <w:color w:val="auto"/>
          <w:sz w:val="32"/>
          <w:szCs w:val="32"/>
        </w:rPr>
        <w:t>企业基本信息表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trPr>
          <w:trHeight w:val="399"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一、企业基本信息</w:t>
            </w: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组织机构代码</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邮编</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联系部门</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联系人</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联系电话</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传真</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内资（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国有</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集体</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民营）</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中外合资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港澳台</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外商独资</w:t>
            </w:r>
          </w:p>
        </w:tc>
      </w:tr>
      <w:tr>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□钢铁 □炼焦 □石油炼制 □乙烯 □氯碱 □氮肥□现代煤化工 □纺织染整 □化纤长丝织造 □造纸 □啤酒 □味精 □氧化铝 □电解铝  □船舶</w:t>
            </w:r>
          </w:p>
        </w:tc>
      </w:tr>
      <w:tr>
        <w:trPr>
          <w:trHeight w:val="340"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二、企业水效指标</w:t>
            </w:r>
          </w:p>
        </w:tc>
      </w:tr>
      <w:tr>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u w:val="single"/>
              </w:rPr>
            </w:pPr>
          </w:p>
        </w:tc>
      </w:tr>
      <w:tr>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cs="Times New Roman"/>
                <w:color w:val="auto"/>
                <w:sz w:val="24"/>
                <w:lang w:val="en-US" w:eastAsia="zh-CN"/>
              </w:rPr>
              <w:t>4</w:t>
            </w:r>
            <w:r>
              <w:rPr>
                <w:rFonts w:hint="default" w:ascii="Times New Roman" w:hAnsi="Times New Roman" w:eastAsia="仿宋_GB2312" w:cs="Times New Roman"/>
                <w:color w:val="auto"/>
                <w:sz w:val="24"/>
              </w:rPr>
              <w:t>年总产值（万元）</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lang w:val="en"/>
              </w:rPr>
            </w:pPr>
            <w:r>
              <w:rPr>
                <w:rFonts w:hint="default" w:ascii="Times New Roman" w:hAnsi="Times New Roman" w:eastAsia="仿宋_GB2312" w:cs="Times New Roman"/>
                <w:color w:val="auto"/>
                <w:sz w:val="24"/>
                <w:lang w:val="en"/>
              </w:rPr>
              <w:t>202</w:t>
            </w:r>
            <w:r>
              <w:rPr>
                <w:rFonts w:hint="eastAsia" w:cs="Times New Roman"/>
                <w:color w:val="auto"/>
                <w:sz w:val="24"/>
                <w:lang w:val="en-US" w:eastAsia="zh-CN"/>
              </w:rPr>
              <w:t>4</w:t>
            </w:r>
            <w:r>
              <w:rPr>
                <w:rFonts w:hint="default" w:ascii="Times New Roman" w:hAnsi="Times New Roman" w:eastAsia="仿宋_GB2312" w:cs="Times New Roman"/>
                <w:color w:val="auto"/>
                <w:sz w:val="24"/>
                <w:lang w:val="en"/>
              </w:rPr>
              <w:t>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454" w:hRule="atLeast"/>
          <w:jc w:val="center"/>
        </w:trPr>
        <w:tc>
          <w:tcPr>
            <w:tcW w:w="1705" w:type="dxa"/>
            <w:vMerge w:val="restart"/>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cs="Times New Roman"/>
                <w:color w:val="auto"/>
                <w:sz w:val="24"/>
                <w:lang w:val="en-US" w:eastAsia="zh-CN"/>
              </w:rPr>
              <w:t>4</w:t>
            </w:r>
            <w:r>
              <w:rPr>
                <w:rFonts w:hint="default" w:ascii="Times New Roman" w:hAnsi="Times New Roman" w:eastAsia="仿宋_GB2312" w:cs="Times New Roman"/>
                <w:color w:val="auto"/>
                <w:sz w:val="24"/>
              </w:rPr>
              <w:t>年取水量（立方米）</w:t>
            </w:r>
          </w:p>
        </w:tc>
        <w:tc>
          <w:tcPr>
            <w:tcW w:w="2440" w:type="dxa"/>
            <w:tcBorders>
              <w:top w:val="single" w:color="auto" w:sz="4" w:space="0"/>
              <w:left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397" w:hRule="atLeast"/>
          <w:jc w:val="center"/>
        </w:trPr>
        <w:tc>
          <w:tcPr>
            <w:tcW w:w="1705" w:type="dxa"/>
            <w:vMerge w:val="continue"/>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c>
          <w:tcPr>
            <w:tcW w:w="2440" w:type="dxa"/>
            <w:tcBorders>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rPr>
          <w:trHeight w:val="340" w:hRule="atLeast"/>
          <w:jc w:val="center"/>
        </w:trPr>
        <w:tc>
          <w:tcPr>
            <w:tcW w:w="17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近三年企业</w:t>
            </w:r>
            <w:r>
              <w:rPr>
                <w:rFonts w:hint="default" w:ascii="Times New Roman" w:hAnsi="Times New Roman" w:eastAsia="仿宋_GB2312" w:cs="Times New Roman"/>
                <w:color w:val="auto"/>
                <w:sz w:val="24"/>
                <w:lang w:eastAsia="zh-CN"/>
              </w:rPr>
              <w:t>主要水效</w:t>
            </w:r>
            <w:r>
              <w:rPr>
                <w:rFonts w:hint="default" w:ascii="Times New Roman" w:hAnsi="Times New Roman" w:eastAsia="仿宋_GB2312" w:cs="Times New Roman"/>
                <w:color w:val="auto"/>
                <w:sz w:val="24"/>
              </w:rPr>
              <w:t>指标（请注明单位）</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年份</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r>
              <w:rPr>
                <w:rFonts w:hint="default" w:ascii="Times New Roman" w:hAnsi="Times New Roman" w:eastAsia="仿宋_GB2312" w:cs="Times New Roman"/>
                <w:color w:val="auto"/>
                <w:sz w:val="24"/>
                <w:lang w:val="en-US" w:eastAsia="zh-CN"/>
              </w:rPr>
              <w:t>2</w:t>
            </w:r>
            <w:r>
              <w:rPr>
                <w:rFonts w:hint="eastAsia" w:cs="Times New Roman"/>
                <w:color w:val="auto"/>
                <w:sz w:val="24"/>
                <w:lang w:val="en-US" w:eastAsia="zh-CN"/>
              </w:rPr>
              <w:t>2</w:t>
            </w:r>
            <w:r>
              <w:rPr>
                <w:rFonts w:hint="default" w:ascii="Times New Roman" w:hAnsi="Times New Roman" w:eastAsia="仿宋_GB2312" w:cs="Times New Roman"/>
                <w:color w:val="auto"/>
                <w:sz w:val="24"/>
              </w:rPr>
              <w:t>年</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cs="Times New Roman"/>
                <w:color w:val="auto"/>
                <w:sz w:val="24"/>
                <w:lang w:val="en-US" w:eastAsia="zh-CN"/>
              </w:rPr>
              <w:t>3</w:t>
            </w:r>
            <w:r>
              <w:rPr>
                <w:rFonts w:hint="default" w:ascii="Times New Roman" w:hAnsi="Times New Roman" w:eastAsia="仿宋_GB2312" w:cs="Times New Roman"/>
                <w:color w:val="auto"/>
                <w:sz w:val="24"/>
              </w:rPr>
              <w:t>年</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cs="Times New Roman"/>
                <w:color w:val="auto"/>
                <w:sz w:val="24"/>
                <w:lang w:val="en-US" w:eastAsia="zh-CN"/>
              </w:rPr>
              <w:t>4</w:t>
            </w:r>
            <w:r>
              <w:rPr>
                <w:rFonts w:hint="default" w:ascii="Times New Roman" w:hAnsi="Times New Roman" w:eastAsia="仿宋_GB2312" w:cs="Times New Roman"/>
                <w:color w:val="auto"/>
                <w:sz w:val="24"/>
              </w:rPr>
              <w:t>年</w:t>
            </w:r>
          </w:p>
        </w:tc>
      </w:tr>
      <w:tr>
        <w:trPr>
          <w:trHeight w:val="340"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主要产品</w:t>
            </w:r>
            <w:r>
              <w:rPr>
                <w:rFonts w:hint="default" w:ascii="Times New Roman" w:hAnsi="Times New Roman" w:eastAsia="仿宋_GB2312" w:cs="Times New Roman"/>
                <w:color w:val="auto"/>
                <w:sz w:val="24"/>
              </w:rPr>
              <w:t>单位取水量</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水重复利用率</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rPr>
          <w:trHeight w:val="2270"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before="157" w:beforeLines="50"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材料真实性承诺：</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我单位郑重承诺：本次申报国家水效领跑者所提交的相关数据和信息均真实、有效，近三年未发生重大安全、环境事故或质量违法行为，愿接受并积极配合主管部门的监督抽查和核验。如有违反，愿承担由此产生的相应责任。</w:t>
            </w:r>
          </w:p>
          <w:p>
            <w:pPr>
              <w:spacing w:line="320" w:lineRule="exact"/>
              <w:ind w:firstLine="4800" w:firstLineChars="20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单位负责人（签字）：</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（申报单位公章）</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r>
        <w:trPr>
          <w:trHeight w:val="1380"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推荐单位意见：</w:t>
            </w:r>
          </w:p>
          <w:p>
            <w:pPr>
              <w:spacing w:line="320" w:lineRule="exact"/>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（推荐单位公章）</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p>
          <w:p>
            <w:pPr>
              <w:spacing w:line="320" w:lineRule="exact"/>
              <w:ind w:firstLine="5109" w:firstLineChars="212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bl>
    <w:p>
      <w:pPr>
        <w:widowControl/>
        <w:ind w:firstLine="0"/>
        <w:jc w:val="center"/>
        <w:outlineLvl w:val="0"/>
        <w:rPr>
          <w:rFonts w:hint="default" w:ascii="Times New Roman" w:hAnsi="Times New Roman" w:eastAsia="黑体" w:cs="Times New Roman"/>
          <w:b w:val="0"/>
          <w:color w:val="auto"/>
          <w:sz w:val="36"/>
        </w:rPr>
        <w:sectPr>
          <w:footerReference r:id="rId4" w:type="default"/>
          <w:pgSz w:w="11906" w:h="16838"/>
          <w:pgMar w:top="1440" w:right="1803" w:bottom="1440" w:left="1803" w:header="851" w:footer="992" w:gutter="0"/>
          <w:pgNumType w:fmt="decimal"/>
          <w:cols w:space="720" w:num="1"/>
          <w:rtlGutter w:val="0"/>
          <w:docGrid w:type="lines" w:linePitch="319" w:charSpace="0"/>
        </w:sectPr>
      </w:pPr>
    </w:p>
    <w:p>
      <w:pPr>
        <w:widowControl/>
        <w:ind w:firstLine="0"/>
        <w:jc w:val="center"/>
        <w:outlineLvl w:val="0"/>
        <w:rPr>
          <w:rFonts w:hint="default" w:ascii="Times New Roman" w:hAnsi="Times New Roman" w:eastAsia="仿宋_GB2312" w:cs="Times New Roman"/>
          <w:b w:val="0"/>
          <w:color w:val="auto"/>
          <w:sz w:val="36"/>
        </w:rPr>
      </w:pPr>
      <w:r>
        <w:rPr>
          <w:rFonts w:hint="default" w:ascii="Times New Roman" w:hAnsi="Times New Roman" w:eastAsia="黑体" w:cs="Times New Roman"/>
          <w:b w:val="0"/>
          <w:color w:val="auto"/>
          <w:sz w:val="36"/>
        </w:rPr>
        <w:t>企业水效分析报告（格式）</w:t>
      </w:r>
    </w:p>
    <w:p>
      <w:pPr>
        <w:widowControl/>
        <w:ind w:firstLine="723"/>
        <w:jc w:val="left"/>
        <w:rPr>
          <w:rFonts w:hint="default" w:ascii="Times New Roman" w:hAnsi="Times New Roman" w:eastAsia="仿宋_GB2312" w:cs="Times New Roman"/>
          <w:color w:val="auto"/>
          <w:sz w:val="20"/>
        </w:rPr>
      </w:pP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一、基本情况</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（一）企业基本情况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1.企业规模：包括企业地理位置（流域）、近三年的生产规模、产品结构、产量、产值、组织结构、员工人数等；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2.生产情况：包括企业生产的主要原材料消耗、能源消耗、主要用水环节和用水设备等；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3.取用水情况：包括企业的取水水源（常规水源、非常规水源）、取水量、水重复利用率、排水量、用水计量设备配备、用水计量、水质数据监测等情况。</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（二）申请水效领跑者的相关生产情况</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二、工艺及技术水平</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（一）主要工艺流程</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（二）主要用水设备规模及其技术水平</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三、取用水情况及水效指标</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（一）主要用水工序、用水设备的取用水情况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包括企业生产主要用水工序、用水设备的取水量、排水量、水质情况等。</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（二）近三年单位产品取水量及水效指标</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水效指标主要包括单位产品取水量、重复利用率等。具体指标要求及报表格式依据以下标准：</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21534-20</w:t>
      </w:r>
      <w:r>
        <w:rPr>
          <w:rFonts w:hint="default" w:ascii="Times New Roman" w:hAnsi="Times New Roman" w:eastAsia="仿宋_GB2312" w:cs="Times New Roman"/>
          <w:color w:val="auto"/>
          <w:sz w:val="32"/>
          <w:lang w:val="en-US" w:eastAsia="zh-CN"/>
        </w:rPr>
        <w:t>21</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eastAsia="zh-CN"/>
        </w:rPr>
        <w:t>节约</w:t>
      </w:r>
      <w:r>
        <w:rPr>
          <w:rFonts w:hint="default" w:ascii="Times New Roman" w:hAnsi="Times New Roman" w:eastAsia="仿宋_GB2312" w:cs="Times New Roman"/>
          <w:color w:val="auto"/>
          <w:sz w:val="32"/>
        </w:rPr>
        <w:t>用水 术语</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w:t>
      </w:r>
      <w:r>
        <w:rPr>
          <w:rFonts w:hint="eastAsia" w:cs="Times New Roman"/>
          <w:color w:val="auto"/>
          <w:sz w:val="32"/>
          <w:lang w:val="en-US" w:eastAsia="zh-CN"/>
        </w:rPr>
        <w:t>/T</w:t>
      </w:r>
      <w:r>
        <w:rPr>
          <w:rFonts w:hint="default" w:ascii="Times New Roman" w:hAnsi="Times New Roman" w:eastAsia="仿宋_GB2312" w:cs="Times New Roman"/>
          <w:color w:val="auto"/>
          <w:sz w:val="32"/>
        </w:rPr>
        <w:t xml:space="preserve"> 24789-20</w:t>
      </w:r>
      <w:r>
        <w:rPr>
          <w:rFonts w:hint="eastAsia" w:cs="Times New Roman"/>
          <w:color w:val="auto"/>
          <w:sz w:val="32"/>
          <w:lang w:val="en-US" w:eastAsia="zh-CN"/>
        </w:rPr>
        <w:t>22</w:t>
      </w:r>
      <w:r>
        <w:rPr>
          <w:rFonts w:hint="default" w:ascii="Times New Roman" w:hAnsi="Times New Roman" w:eastAsia="仿宋_GB2312" w:cs="Times New Roman"/>
          <w:color w:val="auto"/>
          <w:sz w:val="32"/>
        </w:rPr>
        <w:t xml:space="preserve"> 用水单位水计量器具配备和管理通则</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7119-2018 节水型企业评价导则</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26924-2011 节水型企业 钢铁行业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34610-2017 节水型企业 炼焦行业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26926-2011 节水型企业 石油炼制行业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32164-2015 节水型企业 乙烯行业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37271-2018 节水型企业 氯碱行业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36895-2018 节水型企业 氮肥行业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37759-2019 节水型企业 现代煤化工行业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26923-2011 节水型企业 纺织染整行业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37832-2019 节水型企业 化纤长丝织造行业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26927-2011 节水型企业 造纸行业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35576-2017 节水型企业 啤酒行业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32165-20</w:t>
      </w:r>
      <w:r>
        <w:rPr>
          <w:rFonts w:hint="eastAsia" w:cs="Times New Roman"/>
          <w:color w:val="auto"/>
          <w:sz w:val="32"/>
          <w:lang w:val="en-US" w:eastAsia="zh-CN"/>
        </w:rPr>
        <w:t>23</w:t>
      </w:r>
      <w:r>
        <w:rPr>
          <w:rFonts w:hint="default" w:ascii="Times New Roman" w:hAnsi="Times New Roman" w:eastAsia="仿宋_GB2312" w:cs="Times New Roman"/>
          <w:color w:val="auto"/>
          <w:sz w:val="32"/>
        </w:rPr>
        <w:t xml:space="preserve"> 节水型企业 </w:t>
      </w:r>
      <w:r>
        <w:rPr>
          <w:rFonts w:hint="eastAsia" w:cs="Times New Roman"/>
          <w:color w:val="auto"/>
          <w:sz w:val="32"/>
          <w:lang w:val="en-US" w:eastAsia="zh-CN"/>
        </w:rPr>
        <w:t>发酵</w:t>
      </w:r>
      <w:r>
        <w:rPr>
          <w:rFonts w:hint="default" w:ascii="Times New Roman" w:hAnsi="Times New Roman" w:eastAsia="仿宋_GB2312" w:cs="Times New Roman"/>
          <w:color w:val="auto"/>
          <w:sz w:val="32"/>
        </w:rPr>
        <w:t>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33232-2016 节水型企业 氧化铝行业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33233-2016 节水型企业 电解铝行业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GB/T 37332-2019 节水型企业 船舶行业 </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四、水效提升经验</w:t>
      </w:r>
    </w:p>
    <w:p>
      <w:pPr>
        <w:ind w:firstLine="640" w:firstLineChars="200"/>
        <w:rPr>
          <w:rFonts w:hint="default" w:ascii="Times New Roman" w:hAnsi="Times New Roman" w:eastAsia="仿宋_GB2312" w:cs="Times New Roman"/>
          <w:color w:val="auto"/>
          <w:sz w:val="32"/>
        </w:rPr>
      </w:pPr>
      <w:r>
        <w:rPr>
          <w:rFonts w:hint="eastAsia" w:ascii="楷体_GB2312" w:hAnsi="楷体_GB2312" w:eastAsia="楷体_GB2312" w:cs="楷体_GB2312"/>
          <w:color w:val="auto"/>
          <w:sz w:val="32"/>
        </w:rPr>
        <w:t>（一）企业节水管理经验。</w:t>
      </w:r>
      <w:r>
        <w:rPr>
          <w:rFonts w:hint="default" w:ascii="Times New Roman" w:hAnsi="Times New Roman" w:eastAsia="仿宋_GB2312" w:cs="Times New Roman"/>
          <w:color w:val="auto"/>
          <w:sz w:val="32"/>
        </w:rPr>
        <w:t>介绍企业在节水方面采取的管理措施、方法、制度以及取得的效果。</w:t>
      </w:r>
    </w:p>
    <w:p>
      <w:pPr>
        <w:ind w:firstLine="640" w:firstLineChars="200"/>
        <w:rPr>
          <w:rFonts w:hint="default" w:ascii="Times New Roman" w:hAnsi="Times New Roman" w:eastAsia="仿宋_GB2312" w:cs="Times New Roman"/>
          <w:color w:val="auto"/>
          <w:sz w:val="32"/>
        </w:rPr>
      </w:pPr>
      <w:r>
        <w:rPr>
          <w:rFonts w:hint="eastAsia" w:ascii="楷体_GB2312" w:hAnsi="楷体_GB2312" w:eastAsia="楷体_GB2312" w:cs="楷体_GB2312"/>
          <w:color w:val="auto"/>
          <w:sz w:val="32"/>
        </w:rPr>
        <w:t>（二）企业节水技术改造经验。</w:t>
      </w:r>
      <w:r>
        <w:rPr>
          <w:rFonts w:hint="default" w:ascii="Times New Roman" w:hAnsi="Times New Roman" w:eastAsia="仿宋_GB2312" w:cs="Times New Roman"/>
          <w:color w:val="auto"/>
          <w:sz w:val="32"/>
        </w:rPr>
        <w:t>介绍企业实施的重大节水技术改造工程，包括种类、数量以及因此取得的节水效益；采用的先进节水技术、装备和产品，采取的优化运行、水重复利用等方面的节水措施以及取得的节水效益。</w:t>
      </w:r>
    </w:p>
    <w:p>
      <w:pPr>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五、未来三年拟采取的主要水效提升措施</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未来三年拟采取的主要水效提升措施，如节水技术改造项目（如</w:t>
      </w:r>
      <w:r>
        <w:rPr>
          <w:rFonts w:hint="default" w:ascii="Times New Roman" w:hAnsi="Times New Roman" w:eastAsia="仿宋_GB2312" w:cs="Times New Roman"/>
          <w:color w:val="auto"/>
          <w:sz w:val="32"/>
          <w:lang w:eastAsia="zh-CN"/>
        </w:rPr>
        <w:t>废水循环</w:t>
      </w:r>
      <w:r>
        <w:rPr>
          <w:rFonts w:hint="default" w:ascii="Times New Roman" w:hAnsi="Times New Roman" w:eastAsia="仿宋_GB2312" w:cs="Times New Roman"/>
          <w:color w:val="auto"/>
          <w:sz w:val="32"/>
        </w:rPr>
        <w:t>利用、非常规水利用等）、节水管理措施（如用水管理负责人制度、合同节水管理</w:t>
      </w:r>
      <w:r>
        <w:rPr>
          <w:rFonts w:hint="default" w:ascii="Times New Roman" w:hAnsi="Times New Roman" w:eastAsia="仿宋_GB2312" w:cs="Times New Roman"/>
          <w:color w:val="auto"/>
          <w:sz w:val="32"/>
          <w:lang w:eastAsia="zh-CN"/>
        </w:rPr>
        <w:t>、节水信息化管理</w:t>
      </w:r>
      <w:r>
        <w:rPr>
          <w:rFonts w:hint="default" w:ascii="Times New Roman" w:hAnsi="Times New Roman" w:eastAsia="仿宋_GB2312" w:cs="Times New Roman"/>
          <w:color w:val="auto"/>
          <w:sz w:val="32"/>
        </w:rPr>
        <w:t>等）。请分项简述建设内容、预期投资和预期节水效果。</w:t>
      </w:r>
    </w:p>
    <w:p>
      <w:pPr>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六、证明材料</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此部分包括但不限于以下材料：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（一）企业营业执照复印件，企业组织机构代码证复印件（适用时）；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（二）企业取水相关证明材料（取水许可证或用水合同协议、近三年取水无超计划等）；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（三）企业用水相关材料（企业用水记录、统计报表、费用账单、水计量器具台账、供排水管网图、维修及校验记录等）；</w:t>
      </w:r>
    </w:p>
    <w:p>
      <w:pPr>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（四）企业废水达标排放证明材料（地方排污许可证或地方环保证明）；</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五</w:t>
      </w:r>
      <w:r>
        <w:rPr>
          <w:rFonts w:hint="default" w:ascii="Times New Roman" w:hAnsi="Times New Roman" w:eastAsia="仿宋_GB2312" w:cs="Times New Roman"/>
          <w:color w:val="auto"/>
          <w:sz w:val="32"/>
        </w:rPr>
        <w:t>）企业用水设备相关材料（用水设备</w:t>
      </w:r>
      <w:r>
        <w:rPr>
          <w:rFonts w:hint="default" w:ascii="Times New Roman" w:hAnsi="Times New Roman" w:eastAsia="仿宋_GB2312" w:cs="Times New Roman"/>
          <w:color w:val="auto"/>
          <w:sz w:val="32"/>
          <w:lang w:eastAsia="zh-CN"/>
        </w:rPr>
        <w:t>设计图纸、设备配备</w:t>
      </w:r>
      <w:r>
        <w:rPr>
          <w:rFonts w:hint="default" w:ascii="Times New Roman" w:hAnsi="Times New Roman" w:eastAsia="仿宋_GB2312" w:cs="Times New Roman"/>
          <w:color w:val="auto"/>
          <w:sz w:val="32"/>
        </w:rPr>
        <w:t>情况、运行记录、节水设施现场图片资料等）；</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六</w:t>
      </w:r>
      <w:r>
        <w:rPr>
          <w:rFonts w:hint="default" w:ascii="Times New Roman" w:hAnsi="Times New Roman" w:eastAsia="仿宋_GB2312" w:cs="Times New Roman"/>
          <w:color w:val="auto"/>
          <w:sz w:val="32"/>
        </w:rPr>
        <w:t>）企业节水管理相关材料（水平衡测试报告、节水管理制度文件、节水规划和年度节水计划文件、节水统计报表等）。</w:t>
      </w:r>
    </w:p>
    <w:p>
      <w:pPr>
        <w:rPr>
          <w:rFonts w:hint="default" w:ascii="Times New Roman" w:hAnsi="Times New Roman" w:cs="Times New Roman"/>
          <w:color w:val="auto"/>
        </w:rPr>
      </w:pPr>
      <w:r>
        <w:rPr>
          <w:rFonts w:hint="default" w:ascii="Times New Roman" w:hAnsi="Times New Roman" w:cs="Times New Roman"/>
          <w:color w:val="auto"/>
        </w:rPr>
        <w:br w:type="page"/>
      </w:r>
    </w:p>
    <w:p>
      <w:pPr>
        <w:widowControl/>
        <w:ind w:firstLine="0"/>
        <w:jc w:val="center"/>
        <w:outlineLvl w:val="0"/>
        <w:rPr>
          <w:rFonts w:hint="default" w:ascii="Times New Roman" w:hAnsi="Times New Roman" w:eastAsia="黑体" w:cs="Times New Roman"/>
          <w:b w:val="0"/>
          <w:color w:val="auto"/>
          <w:sz w:val="36"/>
        </w:rPr>
      </w:pPr>
      <w:r>
        <w:rPr>
          <w:rFonts w:hint="default" w:ascii="Times New Roman" w:hAnsi="Times New Roman" w:eastAsia="黑体" w:cs="Times New Roman"/>
          <w:b w:val="0"/>
          <w:color w:val="auto"/>
          <w:sz w:val="36"/>
        </w:rPr>
        <w:t>企业自评表</w:t>
      </w:r>
    </w:p>
    <w:p>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一、自评总则</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（一）水效领跑者企业自评指标分为一票否决指标和量化指标，量化指标又分管理指标和技术指标。</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（二）一票否决指标如有不满足项，取消该企业水效领跑者评选资格，不参加后续量化指标评价。</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钢铁、炼焦、石油炼制、乙烯、纺织染整、造纸、啤酒、味精、氧化铝、电解铝行业管理指标得分须达到48分以上（含48分）；氯碱、氮肥、现代煤化工、化纤长丝织造、船舶行业管理指标得分须达到52分以上（含52分），且序号1、2、4、5四项评分</w:t>
      </w:r>
      <w:r>
        <w:rPr>
          <w:rFonts w:hint="default" w:ascii="Times New Roman" w:hAnsi="Times New Roman" w:eastAsia="仿宋_GB2312" w:cs="Times New Roman"/>
          <w:bCs/>
          <w:color w:val="auto"/>
          <w:sz w:val="32"/>
          <w:szCs w:val="32"/>
          <w:lang w:eastAsia="zh-CN"/>
        </w:rPr>
        <w:t>之和</w:t>
      </w:r>
      <w:r>
        <w:rPr>
          <w:rFonts w:hint="default" w:ascii="Times New Roman" w:hAnsi="Times New Roman" w:eastAsia="仿宋_GB2312" w:cs="Times New Roman"/>
          <w:bCs/>
          <w:color w:val="auto"/>
          <w:sz w:val="32"/>
          <w:szCs w:val="32"/>
        </w:rPr>
        <w:t>不低于34分（含34分）。</w:t>
      </w:r>
    </w:p>
    <w:p>
      <w:pPr>
        <w:numPr>
          <w:ilvl w:val="0"/>
          <w:numId w:val="1"/>
        </w:num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技术指标采用上一年度计量或统计数据对各项指标进行赋值和评价，指标值须达到表中最低限值。</w:t>
      </w:r>
    </w:p>
    <w:p>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二、自评表</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（一）一票否决指标自评表见附表1，管理指标自评表见附表2，技术指标自评表见附表3（表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至</w:t>
      </w: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eastAsia"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（二）自评表中列出证明材料索引，相关证明材料附后。</w:t>
      </w:r>
    </w:p>
    <w:p>
      <w:pPr>
        <w:pStyle w:val="2"/>
        <w:rPr>
          <w:rFonts w:hint="default" w:ascii="Times New Roman" w:hAnsi="Times New Roman" w:eastAsia="仿宋_GB2312" w:cs="Times New Roman"/>
          <w:bCs/>
          <w:color w:val="auto"/>
          <w:sz w:val="32"/>
          <w:szCs w:val="32"/>
        </w:rPr>
      </w:pPr>
    </w:p>
    <w:p>
      <w:pPr>
        <w:pStyle w:val="3"/>
        <w:rPr>
          <w:rFonts w:hint="default" w:ascii="Times New Roman" w:hAnsi="Times New Roman" w:cs="Times New Roman"/>
          <w:color w:val="auto"/>
        </w:rPr>
        <w:sectPr>
          <w:footerReference r:id="rId5" w:type="default"/>
          <w:pgSz w:w="11906" w:h="16838"/>
          <w:pgMar w:top="1440" w:right="1803" w:bottom="1440" w:left="1803" w:header="851" w:footer="992" w:gutter="0"/>
          <w:pgNumType w:fmt="decimal"/>
          <w:cols w:space="720" w:num="1"/>
          <w:rtlGutter w:val="0"/>
          <w:docGrid w:type="lines" w:linePitch="319" w:charSpace="0"/>
        </w:sectPr>
      </w:pPr>
    </w:p>
    <w:p>
      <w:pPr>
        <w:spacing w:line="360" w:lineRule="auto"/>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附表1</w:t>
      </w:r>
    </w:p>
    <w:p>
      <w:pPr>
        <w:spacing w:before="156" w:beforeLines="50" w:line="360" w:lineRule="auto"/>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一票否决指标自评表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343"/>
      </w:tblGrid>
      <w:tr>
        <w:trPr>
          <w:trHeight w:val="680" w:hRule="atLeast"/>
          <w:tblHeader/>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评价情况</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574"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有取水资源的合法手续</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rPr>
          <w:trHeight w:val="49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近三年</w:t>
            </w:r>
            <w:r>
              <w:rPr>
                <w:rFonts w:hint="eastAsia" w:cs="Times New Roman"/>
                <w:color w:val="auto"/>
                <w:sz w:val="22"/>
                <w:lang w:val="en-US" w:eastAsia="zh-CN"/>
              </w:rPr>
              <w:t>无超计划用水、超许可取水行为</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rPr>
              <w:t>近三年内未发生安全</w:t>
            </w:r>
            <w:r>
              <w:rPr>
                <w:rFonts w:hint="eastAsia" w:cs="Times New Roman"/>
                <w:color w:val="auto"/>
                <w:sz w:val="22"/>
                <w:lang w:eastAsia="zh-CN"/>
              </w:rPr>
              <w:t>（</w:t>
            </w:r>
            <w:r>
              <w:rPr>
                <w:rFonts w:hint="eastAsia" w:cs="Times New Roman"/>
                <w:color w:val="auto"/>
                <w:sz w:val="22"/>
                <w:lang w:val="en-US" w:eastAsia="zh-CN"/>
              </w:rPr>
              <w:t>含网络安全、数据安全</w:t>
            </w:r>
            <w:r>
              <w:rPr>
                <w:rFonts w:hint="eastAsia" w:cs="Times New Roman"/>
                <w:color w:val="auto"/>
                <w:sz w:val="22"/>
                <w:lang w:eastAsia="zh-CN"/>
              </w:rPr>
              <w:t>）</w:t>
            </w:r>
            <w:r>
              <w:rPr>
                <w:rFonts w:hint="default" w:ascii="Times New Roman" w:hAnsi="Times New Roman" w:eastAsia="仿宋_GB2312" w:cs="Times New Roman"/>
                <w:color w:val="auto"/>
                <w:sz w:val="22"/>
              </w:rPr>
              <w:t>、</w:t>
            </w:r>
            <w:r>
              <w:rPr>
                <w:rFonts w:hint="eastAsia" w:cs="Times New Roman"/>
                <w:color w:val="auto"/>
                <w:sz w:val="22"/>
                <w:lang w:val="en-US" w:eastAsia="zh-CN"/>
              </w:rPr>
              <w:t>质量、</w:t>
            </w:r>
            <w:r>
              <w:rPr>
                <w:rFonts w:hint="default" w:ascii="Times New Roman" w:hAnsi="Times New Roman" w:eastAsia="仿宋_GB2312" w:cs="Times New Roman"/>
                <w:color w:val="auto"/>
                <w:sz w:val="22"/>
              </w:rPr>
              <w:t>环境</w:t>
            </w:r>
            <w:r>
              <w:rPr>
                <w:rFonts w:hint="eastAsia" w:cs="Times New Roman"/>
                <w:color w:val="auto"/>
                <w:sz w:val="22"/>
                <w:lang w:val="en-US" w:eastAsia="zh-CN"/>
              </w:rPr>
              <w:t>污染等</w:t>
            </w:r>
            <w:r>
              <w:rPr>
                <w:rFonts w:hint="default" w:ascii="Times New Roman" w:hAnsi="Times New Roman" w:eastAsia="仿宋_GB2312" w:cs="Times New Roman"/>
                <w:color w:val="auto"/>
                <w:sz w:val="22"/>
              </w:rPr>
              <w:t>事故</w:t>
            </w:r>
            <w:r>
              <w:rPr>
                <w:rFonts w:hint="eastAsia" w:cs="Times New Roman"/>
                <w:color w:val="auto"/>
                <w:sz w:val="22"/>
                <w:lang w:val="en-US" w:eastAsia="zh-CN"/>
              </w:rPr>
              <w:t>以及偷漏税等</w:t>
            </w:r>
            <w:r>
              <w:rPr>
                <w:rFonts w:hint="default" w:ascii="Times New Roman" w:hAnsi="Times New Roman" w:eastAsia="仿宋_GB2312" w:cs="Times New Roman"/>
                <w:color w:val="auto"/>
                <w:sz w:val="22"/>
              </w:rPr>
              <w:t>违法</w:t>
            </w:r>
            <w:r>
              <w:rPr>
                <w:rFonts w:hint="eastAsia" w:cs="Times New Roman"/>
                <w:color w:val="auto"/>
                <w:sz w:val="22"/>
                <w:lang w:val="en-US" w:eastAsia="zh-CN"/>
              </w:rPr>
              <w:t>违规</w:t>
            </w:r>
            <w:r>
              <w:rPr>
                <w:rFonts w:hint="default" w:ascii="Times New Roman" w:hAnsi="Times New Roman" w:eastAsia="仿宋_GB2312" w:cs="Times New Roman"/>
                <w:color w:val="auto"/>
                <w:sz w:val="22"/>
              </w:rPr>
              <w:t>行为</w:t>
            </w:r>
            <w:r>
              <w:rPr>
                <w:rFonts w:hint="eastAsia" w:cs="Times New Roman"/>
                <w:color w:val="auto"/>
                <w:sz w:val="22"/>
                <w:lang w:eastAsia="zh-CN"/>
              </w:rPr>
              <w:t>（</w:t>
            </w:r>
            <w:r>
              <w:rPr>
                <w:rFonts w:hint="eastAsia" w:cs="Times New Roman"/>
                <w:color w:val="auto"/>
                <w:sz w:val="22"/>
                <w:lang w:val="en-US" w:eastAsia="zh-CN"/>
              </w:rPr>
              <w:t>以“信用中国”网站和“国家企业信用信息公示系统”为准</w:t>
            </w:r>
            <w:r>
              <w:rPr>
                <w:rFonts w:hint="eastAsia" w:cs="Times New Roman"/>
                <w:color w:val="auto"/>
                <w:sz w:val="22"/>
                <w:lang w:eastAsia="zh-CN"/>
              </w:rPr>
              <w:t>）</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rPr>
          <w:trHeight w:val="50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2"/>
                <w:sz w:val="22"/>
                <w:szCs w:val="22"/>
              </w:rPr>
              <w:t>年用水量</w:t>
            </w:r>
            <w:r>
              <w:rPr>
                <w:rFonts w:hint="eastAsia" w:cs="Times New Roman"/>
                <w:color w:val="auto"/>
                <w:kern w:val="2"/>
                <w:sz w:val="22"/>
                <w:szCs w:val="22"/>
                <w:lang w:val="en-US" w:eastAsia="zh-CN"/>
              </w:rPr>
              <w:t>不小于</w:t>
            </w:r>
            <w:r>
              <w:rPr>
                <w:rFonts w:hint="default" w:ascii="Times New Roman" w:hAnsi="Times New Roman" w:eastAsia="仿宋_GB2312" w:cs="Times New Roman"/>
                <w:color w:val="auto"/>
                <w:kern w:val="2"/>
                <w:sz w:val="22"/>
                <w:szCs w:val="22"/>
              </w:rPr>
              <w:t>1</w:t>
            </w:r>
            <w:r>
              <w:rPr>
                <w:rFonts w:hint="default" w:ascii="Times New Roman" w:hAnsi="Times New Roman" w:eastAsia="仿宋_GB2312" w:cs="Times New Roman"/>
                <w:color w:val="auto"/>
                <w:kern w:val="2"/>
                <w:sz w:val="22"/>
                <w:szCs w:val="22"/>
                <w:lang w:eastAsia="zh-CN"/>
              </w:rPr>
              <w:t>0</w:t>
            </w:r>
            <w:r>
              <w:rPr>
                <w:rFonts w:hint="default" w:ascii="Times New Roman" w:hAnsi="Times New Roman" w:eastAsia="仿宋_GB2312" w:cs="Times New Roman"/>
                <w:color w:val="auto"/>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202</w:t>
            </w:r>
            <w:r>
              <w:rPr>
                <w:rFonts w:hint="eastAsia" w:cs="Times New Roman"/>
                <w:color w:val="auto"/>
                <w:sz w:val="22"/>
                <w:lang w:val="en-US" w:eastAsia="zh-CN"/>
              </w:rPr>
              <w:t>4</w:t>
            </w:r>
            <w:r>
              <w:rPr>
                <w:rFonts w:hint="default" w:ascii="Times New Roman" w:hAnsi="Times New Roman" w:eastAsia="仿宋_GB2312" w:cs="Times New Roman"/>
                <w:color w:val="auto"/>
                <w:sz w:val="22"/>
              </w:rPr>
              <w:t>年度单位产品取水量达到节水型企业标准考核指标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未使用国家明令禁止或列入禁止、淘汰目录的用水设备或器具</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r>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新建、改建、扩建项目时实施节水</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三同时</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“四到位</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制度</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r>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水计量器具配备满足国家标准《用水单位水计量器具配备和管理通则》（GB</w:t>
            </w:r>
            <w:r>
              <w:rPr>
                <w:rFonts w:hint="eastAsia" w:cs="Times New Roman"/>
                <w:color w:val="auto"/>
                <w:sz w:val="22"/>
                <w:lang w:val="en-US" w:eastAsia="zh-CN"/>
              </w:rPr>
              <w:t>/T</w:t>
            </w:r>
            <w:r>
              <w:rPr>
                <w:rFonts w:hint="default" w:ascii="Times New Roman" w:hAnsi="Times New Roman" w:eastAsia="仿宋_GB2312" w:cs="Times New Roman"/>
                <w:color w:val="auto"/>
                <w:sz w:val="22"/>
              </w:rPr>
              <w:t xml:space="preserve"> 24789</w:t>
            </w:r>
            <w:r>
              <w:rPr>
                <w:rFonts w:hint="eastAsia" w:cs="Times New Roman"/>
                <w:color w:val="auto"/>
                <w:sz w:val="22"/>
                <w:lang w:val="en-US" w:eastAsia="zh-CN"/>
              </w:rPr>
              <w:t>-2022</w:t>
            </w:r>
            <w:r>
              <w:rPr>
                <w:rFonts w:hint="default" w:ascii="Times New Roman" w:hAnsi="Times New Roman" w:eastAsia="仿宋_GB2312" w:cs="Times New Roman"/>
                <w:color w:val="auto"/>
                <w:sz w:val="22"/>
              </w:rPr>
              <w:t>）要求，并依法检定或校准</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spacing w:line="360" w:lineRule="auto"/>
        <w:textAlignment w:val="baseline"/>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2"/>
          <w:szCs w:val="32"/>
        </w:rPr>
        <w:t>附表2</w:t>
      </w:r>
    </w:p>
    <w:p>
      <w:pPr>
        <w:adjustRightInd w:val="0"/>
        <w:snapToGrid w:val="0"/>
        <w:spacing w:before="156" w:beforeLines="50"/>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管理指标自评表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rPr>
          <w:cantSplit/>
          <w:trHeight w:val="388"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指标</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要求</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总分</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自评得分</w:t>
            </w: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证明材料索引</w:t>
            </w:r>
          </w:p>
        </w:tc>
      </w:tr>
      <w:tr>
        <w:trPr>
          <w:cantSplit/>
          <w:trHeight w:val="735" w:hRule="atLeast"/>
          <w:jc w:val="center"/>
        </w:trPr>
        <w:tc>
          <w:tcPr>
            <w:tcW w:w="701" w:type="dxa"/>
            <w:vMerge w:val="restart"/>
            <w:tcBorders>
              <w:top w:val="nil"/>
              <w:left w:val="single" w:color="000000"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1</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管理制度</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①有节水管理制度、节水管理网络</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②有岗位责任管理制度、有岗位责任奖惩制度</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875" w:hRule="atLeast"/>
          <w:jc w:val="center"/>
        </w:trPr>
        <w:tc>
          <w:tcPr>
            <w:tcW w:w="701" w:type="dxa"/>
            <w:vMerge w:val="continue"/>
            <w:tcBorders>
              <w:top w:val="nil"/>
              <w:left w:val="single" w:color="000000" w:sz="4" w:space="0"/>
              <w:bottom w:val="single" w:color="000000"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000000"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①制定节水规划，有节水目标和任务，并分解到各部门</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②制定年度节水计划</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③有年度节水工作总结</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930"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①有节水用水统计制度</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②定期向相关部门报送节水用水统计报表</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③有定期统计分析报告</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78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①有企业主要领导负责节水工作</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②企业主要领导熟悉和经常性组织节水工作</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1145"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①设有企业节水管理部门</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②有专（兼）职用水、节水管理人员</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102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①有详细供水、排水管网图</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②有详细供水计量网络图</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③有用水、节水设备操作规程</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①有日常巡查和保修检修制度</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②定期对管网和设备进行检修</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①有完整规范供水计量原始</w:t>
            </w:r>
            <w:r>
              <w:rPr>
                <w:rFonts w:hint="eastAsia" w:ascii="Times New Roman" w:hAnsi="Times New Roman" w:eastAsia="仿宋_GB2312" w:cs="Times New Roman"/>
                <w:color w:val="auto"/>
                <w:sz w:val="22"/>
                <w:szCs w:val="21"/>
                <w:lang w:eastAsia="zh-CN"/>
              </w:rPr>
              <w:t>记</w:t>
            </w:r>
            <w:r>
              <w:rPr>
                <w:rFonts w:hint="default" w:ascii="Times New Roman" w:hAnsi="Times New Roman" w:eastAsia="仿宋_GB2312" w:cs="Times New Roman"/>
                <w:color w:val="auto"/>
                <w:sz w:val="22"/>
                <w:szCs w:val="21"/>
              </w:rPr>
              <w:t>录</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②有完整规范供水计量统计台</w:t>
            </w:r>
            <w:r>
              <w:rPr>
                <w:rFonts w:hint="eastAsia" w:ascii="Times New Roman" w:hAnsi="Times New Roman" w:eastAsia="仿宋_GB2312" w:cs="Times New Roman"/>
                <w:color w:val="auto"/>
                <w:sz w:val="22"/>
                <w:szCs w:val="21"/>
                <w:lang w:eastAsia="zh-CN"/>
              </w:rPr>
              <w:t>账</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③有定期原始记录和统计分析报告</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①有内部用水定额管理制度</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②有内部节水管理考核奖惩制度</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5</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水平衡测试</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①定期开展水平衡测试、有水平衡测试报告</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②开展供水管网检测漏</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③制定基于水平衡测试的节水整改优化方案</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生产工艺和设备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①有节水改造项目立项报告和实施计划</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②有节水技术改造项目实施方案</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③有节水项目实施情况分析报告和项目清单</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795"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nil"/>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①使用节水新技术、新工艺、新设备</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②节水设备运行正常、管理维护好</w:t>
            </w:r>
            <w:r>
              <w:rPr>
                <w:rFonts w:hint="eastAsia" w:cs="Times New Roman"/>
                <w:color w:val="auto"/>
                <w:sz w:val="22"/>
                <w:szCs w:val="21"/>
                <w:lang w:eastAsia="zh-CN"/>
              </w:rPr>
              <w:t>，</w:t>
            </w:r>
            <w:r>
              <w:rPr>
                <w:rFonts w:hint="eastAsia"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1337"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7</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节水宣传</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①经常性开展内部节水宣传和张贴宣传标识</w:t>
            </w:r>
            <w:r>
              <w:rPr>
                <w:rFonts w:hint="default" w:ascii="Times New Roman" w:hAnsi="Times New Roman" w:eastAsia="仿宋_GB2312" w:cs="Times New Roman"/>
                <w:color w:val="auto"/>
                <w:sz w:val="22"/>
                <w:szCs w:val="21"/>
                <w:lang w:eastAsia="zh-CN"/>
              </w:rPr>
              <w:t>，参加</w:t>
            </w:r>
            <w:r>
              <w:rPr>
                <w:rFonts w:hint="default" w:ascii="Times New Roman" w:hAnsi="Times New Roman" w:eastAsia="仿宋_GB2312" w:cs="Times New Roman"/>
                <w:color w:val="auto"/>
                <w:sz w:val="22"/>
                <w:szCs w:val="21"/>
              </w:rPr>
              <w:t>社会节水宣传活动</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②定期开展节水教育培训和知识竞赛活动</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③参与节水标准制修订工作</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980"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①有发表节水文章和论文</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②有全员岗位节水“金点子”及奖励制度</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③有节水宣传标识</w:t>
            </w:r>
            <w:r>
              <w:rPr>
                <w:rFonts w:hint="eastAsia" w:cs="Times New Roman"/>
                <w:color w:val="auto"/>
                <w:sz w:val="22"/>
                <w:szCs w:val="21"/>
                <w:lang w:eastAsia="zh-CN"/>
              </w:rPr>
              <w:t>，</w:t>
            </w:r>
            <w:r>
              <w:rPr>
                <w:rFonts w:hint="eastAsia"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5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8</w:t>
            </w:r>
          </w:p>
        </w:tc>
        <w:tc>
          <w:tcPr>
            <w:tcW w:w="122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水源结构</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企业有使用地下水的情况</w:t>
            </w:r>
            <w:r>
              <w:rPr>
                <w:rFonts w:hint="eastAsia" w:cs="Times New Roman"/>
                <w:color w:val="auto"/>
                <w:sz w:val="22"/>
                <w:szCs w:val="21"/>
                <w:lang w:eastAsia="zh-CN"/>
              </w:rPr>
              <w:t>，</w:t>
            </w:r>
            <w:r>
              <w:rPr>
                <w:rFonts w:hint="eastAsia" w:cs="Times New Roman"/>
                <w:color w:val="auto"/>
                <w:sz w:val="22"/>
                <w:szCs w:val="21"/>
                <w:lang w:val="en-US" w:eastAsia="zh-CN"/>
              </w:rPr>
              <w:t>扣3分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485" w:hRule="atLeast"/>
          <w:jc w:val="center"/>
        </w:trPr>
        <w:tc>
          <w:tcPr>
            <w:tcW w:w="701"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9</w:t>
            </w:r>
          </w:p>
        </w:tc>
        <w:tc>
          <w:tcPr>
            <w:tcW w:w="1227" w:type="dxa"/>
            <w:vMerge w:val="restart"/>
            <w:tcBorders>
              <w:top w:val="single" w:color="auto" w:sz="4" w:space="0"/>
              <w:left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鼓励性</w:t>
            </w:r>
          </w:p>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指标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创新工作</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企业推行合同节水管理，开展用水审计等创新节水活动，</w:t>
            </w:r>
            <w:r>
              <w:rPr>
                <w:rFonts w:hint="default" w:ascii="Times New Roman" w:hAnsi="Times New Roman" w:eastAsia="仿宋_GB2312" w:cs="Times New Roman"/>
                <w:color w:val="auto"/>
                <w:sz w:val="22"/>
                <w:szCs w:val="21"/>
                <w:lang w:eastAsia="zh-CN"/>
              </w:rPr>
              <w:t>加1</w:t>
            </w:r>
            <w:r>
              <w:rPr>
                <w:rFonts w:hint="default" w:ascii="Times New Roman" w:hAnsi="Times New Roman" w:eastAsia="仿宋_GB2312" w:cs="Times New Roman"/>
                <w:color w:val="auto"/>
                <w:sz w:val="22"/>
                <w:szCs w:val="21"/>
              </w:rPr>
              <w:t>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vMerge w:val="continue"/>
            <w:tcBorders>
              <w:left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1227" w:type="dxa"/>
            <w:vMerge w:val="continue"/>
            <w:tcBorders>
              <w:left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非常规水源</w:t>
            </w:r>
            <w:r>
              <w:rPr>
                <w:rFonts w:hint="default" w:ascii="Times New Roman" w:hAnsi="Times New Roman" w:eastAsia="仿宋_GB2312" w:cs="Times New Roman"/>
                <w:color w:val="auto"/>
                <w:sz w:val="22"/>
                <w:szCs w:val="21"/>
                <w:lang w:eastAsia="zh-CN"/>
              </w:rPr>
              <w:t>利用</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企业利用</w:t>
            </w:r>
            <w:r>
              <w:rPr>
                <w:rFonts w:hint="default" w:ascii="Times New Roman" w:hAnsi="Times New Roman" w:eastAsia="仿宋_GB2312" w:cs="Times New Roman"/>
                <w:color w:val="auto"/>
                <w:sz w:val="22"/>
                <w:szCs w:val="21"/>
                <w:lang w:eastAsia="zh-CN"/>
              </w:rPr>
              <w:t>废水</w:t>
            </w:r>
            <w:r>
              <w:rPr>
                <w:rFonts w:hint="default" w:ascii="Times New Roman" w:hAnsi="Times New Roman" w:eastAsia="仿宋_GB2312" w:cs="Times New Roman"/>
                <w:color w:val="auto"/>
                <w:sz w:val="22"/>
                <w:szCs w:val="21"/>
              </w:rPr>
              <w:t>、城市中水、海水、雨水、矿井水等，</w:t>
            </w:r>
            <w:r>
              <w:rPr>
                <w:rFonts w:hint="default" w:ascii="Times New Roman" w:hAnsi="Times New Roman" w:eastAsia="仿宋_GB2312" w:cs="Times New Roman"/>
                <w:color w:val="auto"/>
                <w:sz w:val="22"/>
                <w:szCs w:val="21"/>
                <w:lang w:eastAsia="zh-CN"/>
              </w:rPr>
              <w:t>加</w:t>
            </w:r>
            <w:r>
              <w:rPr>
                <w:rFonts w:hint="default" w:ascii="Times New Roman" w:hAnsi="Times New Roman" w:eastAsia="仿宋_GB2312" w:cs="Times New Roman"/>
                <w:color w:val="auto"/>
                <w:sz w:val="22"/>
                <w:szCs w:val="21"/>
                <w:lang w:val="en-US" w:eastAsia="zh-CN"/>
              </w:rPr>
              <w:t>1</w:t>
            </w:r>
            <w:r>
              <w:rPr>
                <w:rFonts w:hint="default" w:ascii="Times New Roman" w:hAnsi="Times New Roman" w:eastAsia="仿宋_GB2312" w:cs="Times New Roman"/>
                <w:color w:val="auto"/>
                <w:sz w:val="22"/>
                <w:szCs w:val="21"/>
              </w:rPr>
              <w:t>分</w:t>
            </w:r>
            <w:r>
              <w:rPr>
                <w:rFonts w:hint="default" w:ascii="Times New Roman" w:hAnsi="Times New Roman" w:eastAsia="仿宋_GB2312" w:cs="Times New Roman"/>
                <w:color w:val="auto"/>
                <w:sz w:val="22"/>
                <w:szCs w:val="21"/>
                <w:lang w:eastAsia="zh-CN"/>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val="en-US"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1227" w:type="dxa"/>
            <w:vMerge w:val="continue"/>
            <w:tcBorders>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绿色称号</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企业获得省级绿色工厂称号，加</w:t>
            </w:r>
            <w:r>
              <w:rPr>
                <w:rFonts w:hint="default" w:ascii="Times New Roman" w:hAnsi="Times New Roman" w:eastAsia="仿宋_GB2312" w:cs="Times New Roman"/>
                <w:color w:val="auto"/>
                <w:sz w:val="22"/>
                <w:szCs w:val="21"/>
                <w:lang w:val="en-US" w:eastAsia="zh-CN"/>
              </w:rPr>
              <w:t>1分</w:t>
            </w:r>
            <w:r>
              <w:rPr>
                <w:rFonts w:hint="default" w:ascii="Times New Roman" w:hAnsi="Times New Roman" w:eastAsia="仿宋_GB2312" w:cs="Times New Roman"/>
                <w:color w:val="auto"/>
                <w:sz w:val="22"/>
                <w:szCs w:val="21"/>
                <w:lang w:eastAsia="zh-CN"/>
              </w:rPr>
              <w:t>。企业获得国家级绿色工厂称号，加</w:t>
            </w:r>
            <w:r>
              <w:rPr>
                <w:rFonts w:hint="default" w:ascii="Times New Roman" w:hAnsi="Times New Roman" w:eastAsia="仿宋_GB2312" w:cs="Times New Roman"/>
                <w:color w:val="auto"/>
                <w:sz w:val="22"/>
                <w:szCs w:val="21"/>
                <w:lang w:val="en-US" w:eastAsia="zh-CN"/>
              </w:rPr>
              <w:t>2分。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r>
              <w:rPr>
                <w:rFonts w:hint="default" w:ascii="Times New Roman" w:hAnsi="Times New Roman" w:eastAsia="仿宋_GB2312" w:cs="Times New Roman"/>
                <w:color w:val="auto"/>
                <w:sz w:val="22"/>
                <w:szCs w:val="21"/>
                <w:lang w:val="en-US" w:eastAsia="zh-CN"/>
              </w:rPr>
              <w:t>~2</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rPr>
          <w:cantSplit/>
          <w:trHeight w:val="397" w:hRule="atLeast"/>
          <w:jc w:val="center"/>
        </w:trPr>
        <w:tc>
          <w:tcPr>
            <w:tcW w:w="10690" w:type="dxa"/>
            <w:gridSpan w:val="5"/>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b w:val="0"/>
                <w:bCs/>
                <w:color w:val="auto"/>
                <w:sz w:val="22"/>
                <w:szCs w:val="21"/>
              </w:rPr>
              <w:t>管理指标自评总得分</w:t>
            </w:r>
          </w:p>
        </w:tc>
        <w:tc>
          <w:tcPr>
            <w:tcW w:w="3473" w:type="dxa"/>
            <w:gridSpan w:val="2"/>
            <w:noWrap w:val="0"/>
            <w:vAlign w:val="center"/>
          </w:tcPr>
          <w:p>
            <w:pPr>
              <w:adjustRightInd w:val="0"/>
              <w:snapToGrid w:val="0"/>
              <w:jc w:val="both"/>
              <w:rPr>
                <w:rFonts w:hint="default" w:ascii="Times New Roman" w:hAnsi="Times New Roman" w:eastAsia="仿宋_GB2312" w:cs="Times New Roman"/>
                <w:color w:val="auto"/>
                <w:sz w:val="22"/>
                <w:szCs w:val="21"/>
              </w:rPr>
            </w:pPr>
          </w:p>
        </w:tc>
      </w:tr>
    </w:tbl>
    <w:p>
      <w:pPr>
        <w:adjustRightInd w:val="0"/>
        <w:snapToGrid w:val="0"/>
        <w:rPr>
          <w:rFonts w:hint="default" w:ascii="Times New Roman" w:hAnsi="Times New Roman" w:eastAsia="仿宋_GB2312" w:cs="Times New Roman"/>
          <w:bCs/>
          <w:color w:val="auto"/>
          <w:szCs w:val="21"/>
        </w:rPr>
      </w:pPr>
    </w:p>
    <w:p>
      <w:pPr>
        <w:adjustRightInd w:val="0"/>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注：1.自评打分依据：</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①第8项是扣分项，符合该条件扣3分，不符合不扣分；</w:t>
      </w:r>
    </w:p>
    <w:p>
      <w:pPr>
        <w:numPr>
          <w:ilvl w:val="0"/>
          <w:numId w:val="0"/>
        </w:numPr>
        <w:adjustRightInd w:val="0"/>
        <w:snapToGrid w:val="0"/>
        <w:ind w:firstLine="420" w:firstLineChars="175"/>
        <w:rPr>
          <w:rFonts w:hint="eastAsia" w:ascii="Times New Roman" w:hAnsi="Times New Roman" w:eastAsia="仿宋_GB2312" w:cs="Times New Roman"/>
          <w:bCs/>
          <w:color w:val="auto"/>
          <w:sz w:val="24"/>
          <w:szCs w:val="24"/>
          <w:lang w:eastAsia="zh-CN"/>
        </w:rPr>
      </w:pPr>
      <w:r>
        <w:rPr>
          <w:rFonts w:hint="default" w:ascii="Times New Roman" w:hAnsi="Times New Roman" w:eastAsia="仿宋_GB2312" w:cs="Times New Roman"/>
          <w:bCs/>
          <w:color w:val="auto"/>
          <w:sz w:val="24"/>
          <w:szCs w:val="24"/>
        </w:rPr>
        <w:t>②第9项是加分项，符合该条件，可加分，不符合不加分</w:t>
      </w:r>
      <w:r>
        <w:rPr>
          <w:rFonts w:hint="eastAsia" w:cs="Times New Roman"/>
          <w:bCs/>
          <w:color w:val="auto"/>
          <w:sz w:val="24"/>
          <w:szCs w:val="24"/>
          <w:lang w:eastAsia="zh-CN"/>
        </w:rPr>
        <w:t>。</w:t>
      </w:r>
    </w:p>
    <w:p>
      <w:pPr>
        <w:adjustRightInd w:val="0"/>
        <w:snapToGrid w:val="0"/>
        <w:ind w:firstLine="420" w:firstLineChars="175"/>
        <w:jc w:val="left"/>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2.证明材料索引：附上相关文件、记录等证明自评得分的材料索引。</w:t>
      </w:r>
    </w:p>
    <w:p>
      <w:pPr>
        <w:rPr>
          <w:rFonts w:hint="default" w:ascii="Times New Roman" w:hAnsi="Times New Roman" w:eastAsia="仿宋_GB2312"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附表3</w:t>
      </w:r>
    </w:p>
    <w:p>
      <w:pPr>
        <w:spacing w:after="157" w:afterLines="50" w:line="360" w:lineRule="auto"/>
        <w:jc w:val="center"/>
        <w:textAlignment w:val="baseline"/>
        <w:rPr>
          <w:rFonts w:hint="default" w:ascii="Times New Roman" w:hAnsi="Times New Roman" w:eastAsia="黑体" w:cs="Times New Roman"/>
          <w:b w:val="0"/>
          <w:color w:val="auto"/>
          <w:sz w:val="36"/>
          <w:szCs w:val="36"/>
        </w:rPr>
      </w:pPr>
      <w:r>
        <w:rPr>
          <w:rFonts w:hint="default" w:ascii="Times New Roman" w:hAnsi="Times New Roman" w:eastAsia="黑体" w:cs="Times New Roman"/>
          <w:bCs/>
          <w:color w:val="auto"/>
          <w:sz w:val="36"/>
          <w:szCs w:val="36"/>
        </w:rPr>
        <w:t>技术指标自评表</w:t>
      </w: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 钢铁行业技术指标自评表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2013"/>
        <w:gridCol w:w="1970"/>
        <w:gridCol w:w="2756"/>
      </w:tblGrid>
      <w:tr>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kern w:val="0"/>
                <w:sz w:val="24"/>
                <w:szCs w:val="24"/>
              </w:rPr>
              <w:t>评价值</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rPr>
          <w:trHeight w:val="688" w:hRule="atLeast"/>
          <w:jc w:val="center"/>
        </w:trPr>
        <w:tc>
          <w:tcPr>
            <w:tcW w:w="97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取水量</w:t>
            </w:r>
          </w:p>
        </w:tc>
        <w:tc>
          <w:tcPr>
            <w:tcW w:w="20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吨钢取水量</w:t>
            </w:r>
          </w:p>
        </w:tc>
        <w:tc>
          <w:tcPr>
            <w:tcW w:w="102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4.2</w:t>
            </w:r>
          </w:p>
        </w:tc>
        <w:tc>
          <w:tcPr>
            <w:tcW w:w="2013"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单位产品常规水源</w:t>
            </w:r>
            <w:r>
              <w:rPr>
                <w:rFonts w:hint="default" w:ascii="Times New Roman" w:hAnsi="Times New Roman" w:eastAsia="仿宋_GB2312" w:cs="Times New Roman"/>
                <w:color w:val="auto"/>
                <w:sz w:val="24"/>
              </w:rPr>
              <w:t>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878" w:hRule="atLeast"/>
          <w:jc w:val="center"/>
        </w:trPr>
        <w:tc>
          <w:tcPr>
            <w:tcW w:w="97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05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102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1278"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013"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756"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r>
      <w:tr>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95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75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97</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用水漏损</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8</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rPr>
              <w:t>注：各参数计算方法参见GB/T 26924-2011《节水型企业 钢铁行业》。</w:t>
            </w:r>
          </w:p>
        </w:tc>
      </w:tr>
    </w:tbl>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2 炼焦行业技术指标自评表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trPr>
          <w:trHeight w:val="624"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371"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171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870"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799" w:type="dxa"/>
            <w:gridSpan w:val="3"/>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697" w:type="dxa"/>
            <w:gridSpan w:val="2"/>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7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1714"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870"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80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常规焦炉</w:t>
            </w:r>
          </w:p>
        </w:tc>
        <w:tc>
          <w:tcPr>
            <w:tcW w:w="98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热回收焦炉</w:t>
            </w:r>
          </w:p>
        </w:tc>
        <w:tc>
          <w:tcPr>
            <w:tcW w:w="100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半焦炉</w:t>
            </w:r>
          </w:p>
        </w:tc>
        <w:tc>
          <w:tcPr>
            <w:tcW w:w="3697" w:type="dxa"/>
            <w:gridSpan w:val="2"/>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4"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37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1714"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吨焦取水量</w:t>
            </w:r>
          </w:p>
        </w:tc>
        <w:tc>
          <w:tcPr>
            <w:tcW w:w="870"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80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1.2</w:t>
            </w:r>
          </w:p>
        </w:tc>
        <w:tc>
          <w:tcPr>
            <w:tcW w:w="9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0.4</w:t>
            </w:r>
          </w:p>
        </w:tc>
        <w:tc>
          <w:tcPr>
            <w:tcW w:w="100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0.6</w:t>
            </w:r>
          </w:p>
        </w:tc>
        <w:tc>
          <w:tcPr>
            <w:tcW w:w="152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4" w:hRule="atLeast"/>
          <w:jc w:val="center"/>
        </w:trPr>
        <w:tc>
          <w:tcPr>
            <w:tcW w:w="837" w:type="dxa"/>
            <w:vMerge w:val="continue"/>
            <w:noWrap w:val="0"/>
            <w:vAlign w:val="center"/>
          </w:tcPr>
          <w:p>
            <w:pPr>
              <w:adjustRightInd w:val="0"/>
              <w:snapToGrid w:val="0"/>
              <w:jc w:val="center"/>
              <w:rPr>
                <w:rFonts w:hint="default" w:ascii="Times New Roman" w:hAnsi="Times New Roman" w:cs="Times New Roman"/>
                <w:color w:val="auto"/>
              </w:rPr>
            </w:pPr>
          </w:p>
        </w:tc>
        <w:tc>
          <w:tcPr>
            <w:tcW w:w="1371" w:type="dxa"/>
            <w:vMerge w:val="continue"/>
            <w:noWrap w:val="0"/>
            <w:vAlign w:val="center"/>
          </w:tcPr>
          <w:p>
            <w:pPr>
              <w:adjustRightInd w:val="0"/>
              <w:snapToGrid w:val="0"/>
              <w:jc w:val="center"/>
              <w:rPr>
                <w:rFonts w:hint="default" w:ascii="Times New Roman" w:hAnsi="Times New Roman" w:cs="Times New Roman"/>
                <w:color w:val="auto"/>
              </w:rPr>
            </w:pPr>
          </w:p>
        </w:tc>
        <w:tc>
          <w:tcPr>
            <w:tcW w:w="1714" w:type="dxa"/>
            <w:vMerge w:val="continue"/>
            <w:noWrap w:val="0"/>
            <w:vAlign w:val="center"/>
          </w:tcPr>
          <w:p>
            <w:pPr>
              <w:adjustRightInd w:val="0"/>
              <w:snapToGrid w:val="0"/>
              <w:jc w:val="center"/>
              <w:rPr>
                <w:rFonts w:hint="default" w:ascii="Times New Roman" w:hAnsi="Times New Roman" w:cs="Times New Roman"/>
                <w:color w:val="auto"/>
              </w:rPr>
            </w:pPr>
          </w:p>
        </w:tc>
        <w:tc>
          <w:tcPr>
            <w:tcW w:w="870" w:type="dxa"/>
            <w:vMerge w:val="continue"/>
            <w:noWrap w:val="0"/>
            <w:vAlign w:val="center"/>
          </w:tcPr>
          <w:p>
            <w:pPr>
              <w:adjustRightInd w:val="0"/>
              <w:snapToGrid w:val="0"/>
              <w:jc w:val="center"/>
              <w:rPr>
                <w:rFonts w:hint="default" w:ascii="Times New Roman" w:hAnsi="Times New Roman" w:cs="Times New Roman"/>
                <w:color w:val="auto"/>
              </w:rPr>
            </w:pPr>
          </w:p>
        </w:tc>
        <w:tc>
          <w:tcPr>
            <w:tcW w:w="802" w:type="dxa"/>
            <w:vMerge w:val="continue"/>
            <w:noWrap w:val="0"/>
            <w:vAlign w:val="center"/>
          </w:tcPr>
          <w:p>
            <w:pPr>
              <w:adjustRightInd w:val="0"/>
              <w:snapToGrid w:val="0"/>
              <w:jc w:val="center"/>
              <w:rPr>
                <w:rFonts w:hint="default" w:ascii="Times New Roman" w:hAnsi="Times New Roman" w:cs="Times New Roman"/>
                <w:color w:val="auto"/>
              </w:rPr>
            </w:pPr>
          </w:p>
        </w:tc>
        <w:tc>
          <w:tcPr>
            <w:tcW w:w="989" w:type="dxa"/>
            <w:vMerge w:val="continue"/>
            <w:noWrap w:val="0"/>
            <w:vAlign w:val="center"/>
          </w:tcPr>
          <w:p>
            <w:pPr>
              <w:adjustRightInd w:val="0"/>
              <w:snapToGrid w:val="0"/>
              <w:jc w:val="center"/>
              <w:rPr>
                <w:rFonts w:hint="default" w:ascii="Times New Roman" w:hAnsi="Times New Roman" w:cs="Times New Roman"/>
                <w:color w:val="auto"/>
              </w:rPr>
            </w:pPr>
          </w:p>
        </w:tc>
        <w:tc>
          <w:tcPr>
            <w:tcW w:w="1008" w:type="dxa"/>
            <w:vMerge w:val="continue"/>
            <w:noWrap w:val="0"/>
            <w:vAlign w:val="center"/>
          </w:tcPr>
          <w:p>
            <w:pPr>
              <w:adjustRightInd w:val="0"/>
              <w:snapToGrid w:val="0"/>
              <w:jc w:val="center"/>
              <w:rPr>
                <w:rFonts w:hint="default" w:ascii="Times New Roman" w:hAnsi="Times New Roman" w:cs="Times New Roman"/>
                <w:color w:val="auto"/>
              </w:rPr>
            </w:pPr>
          </w:p>
        </w:tc>
        <w:tc>
          <w:tcPr>
            <w:tcW w:w="1524"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吨焦取水量</w:t>
            </w:r>
          </w:p>
        </w:tc>
        <w:tc>
          <w:tcPr>
            <w:tcW w:w="2173" w:type="dxa"/>
            <w:noWrap w:val="0"/>
            <w:vAlign w:val="center"/>
          </w:tcPr>
          <w:p>
            <w:pPr>
              <w:adjustRightInd w:val="0"/>
              <w:snapToGrid w:val="0"/>
              <w:jc w:val="center"/>
              <w:rPr>
                <w:rFonts w:hint="default" w:ascii="Times New Roman" w:hAnsi="Times New Roman" w:cs="Times New Roman"/>
                <w:color w:val="auto"/>
              </w:rPr>
            </w:pPr>
          </w:p>
        </w:tc>
        <w:tc>
          <w:tcPr>
            <w:tcW w:w="2875" w:type="dxa"/>
            <w:vMerge w:val="continue"/>
            <w:noWrap w:val="0"/>
            <w:vAlign w:val="center"/>
          </w:tcPr>
          <w:p>
            <w:pPr>
              <w:adjustRightInd w:val="0"/>
              <w:snapToGrid w:val="0"/>
              <w:jc w:val="center"/>
              <w:rPr>
                <w:rFonts w:hint="default" w:ascii="Times New Roman" w:hAnsi="Times New Roman" w:cs="Times New Roman"/>
                <w:color w:val="auto"/>
              </w:rPr>
            </w:pPr>
          </w:p>
        </w:tc>
      </w:tr>
      <w:tr>
        <w:trPr>
          <w:trHeight w:val="572"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37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1714"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870"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80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9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0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52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72" w:hRule="atLeast"/>
          <w:jc w:val="center"/>
        </w:trPr>
        <w:tc>
          <w:tcPr>
            <w:tcW w:w="837" w:type="dxa"/>
            <w:vMerge w:val="continue"/>
            <w:noWrap w:val="0"/>
            <w:vAlign w:val="center"/>
          </w:tcPr>
          <w:p>
            <w:pPr>
              <w:adjustRightInd w:val="0"/>
              <w:snapToGrid w:val="0"/>
              <w:jc w:val="center"/>
              <w:rPr>
                <w:rFonts w:hint="default" w:ascii="Times New Roman" w:hAnsi="Times New Roman" w:cs="Times New Roman"/>
                <w:color w:val="auto"/>
              </w:rPr>
            </w:pPr>
          </w:p>
        </w:tc>
        <w:tc>
          <w:tcPr>
            <w:tcW w:w="1371" w:type="dxa"/>
            <w:vMerge w:val="continue"/>
            <w:noWrap w:val="0"/>
            <w:vAlign w:val="center"/>
          </w:tcPr>
          <w:p>
            <w:pPr>
              <w:adjustRightInd w:val="0"/>
              <w:snapToGrid w:val="0"/>
              <w:jc w:val="center"/>
              <w:rPr>
                <w:rFonts w:hint="default" w:ascii="Times New Roman" w:hAnsi="Times New Roman" w:cs="Times New Roman"/>
                <w:color w:val="auto"/>
              </w:rPr>
            </w:pPr>
          </w:p>
        </w:tc>
        <w:tc>
          <w:tcPr>
            <w:tcW w:w="1714" w:type="dxa"/>
            <w:vMerge w:val="continue"/>
            <w:noWrap w:val="0"/>
            <w:vAlign w:val="center"/>
          </w:tcPr>
          <w:p>
            <w:pPr>
              <w:adjustRightInd w:val="0"/>
              <w:snapToGrid w:val="0"/>
              <w:jc w:val="center"/>
              <w:rPr>
                <w:rFonts w:hint="default" w:ascii="Times New Roman" w:hAnsi="Times New Roman" w:cs="Times New Roman"/>
                <w:color w:val="auto"/>
              </w:rPr>
            </w:pPr>
          </w:p>
        </w:tc>
        <w:tc>
          <w:tcPr>
            <w:tcW w:w="870" w:type="dxa"/>
            <w:vMerge w:val="continue"/>
            <w:noWrap w:val="0"/>
            <w:vAlign w:val="center"/>
          </w:tcPr>
          <w:p>
            <w:pPr>
              <w:adjustRightInd w:val="0"/>
              <w:snapToGrid w:val="0"/>
              <w:jc w:val="center"/>
              <w:rPr>
                <w:rFonts w:hint="default" w:ascii="Times New Roman" w:hAnsi="Times New Roman" w:cs="Times New Roman"/>
                <w:color w:val="auto"/>
              </w:rPr>
            </w:pPr>
          </w:p>
        </w:tc>
        <w:tc>
          <w:tcPr>
            <w:tcW w:w="802" w:type="dxa"/>
            <w:vMerge w:val="continue"/>
            <w:noWrap w:val="0"/>
            <w:vAlign w:val="center"/>
          </w:tcPr>
          <w:p>
            <w:pPr>
              <w:adjustRightInd w:val="0"/>
              <w:snapToGrid w:val="0"/>
              <w:jc w:val="center"/>
              <w:rPr>
                <w:rFonts w:hint="default" w:ascii="Times New Roman" w:hAnsi="Times New Roman" w:cs="Times New Roman"/>
                <w:color w:val="auto"/>
              </w:rPr>
            </w:pPr>
          </w:p>
        </w:tc>
        <w:tc>
          <w:tcPr>
            <w:tcW w:w="989" w:type="dxa"/>
            <w:vMerge w:val="continue"/>
            <w:noWrap w:val="0"/>
            <w:vAlign w:val="center"/>
          </w:tcPr>
          <w:p>
            <w:pPr>
              <w:adjustRightInd w:val="0"/>
              <w:snapToGrid w:val="0"/>
              <w:jc w:val="center"/>
              <w:rPr>
                <w:rFonts w:hint="default" w:ascii="Times New Roman" w:hAnsi="Times New Roman" w:cs="Times New Roman"/>
                <w:color w:val="auto"/>
              </w:rPr>
            </w:pPr>
          </w:p>
        </w:tc>
        <w:tc>
          <w:tcPr>
            <w:tcW w:w="1008" w:type="dxa"/>
            <w:vMerge w:val="continue"/>
            <w:noWrap w:val="0"/>
            <w:vAlign w:val="center"/>
          </w:tcPr>
          <w:p>
            <w:pPr>
              <w:adjustRightInd w:val="0"/>
              <w:snapToGrid w:val="0"/>
              <w:jc w:val="center"/>
              <w:rPr>
                <w:rFonts w:hint="default" w:ascii="Times New Roman" w:hAnsi="Times New Roman" w:cs="Times New Roman"/>
                <w:color w:val="auto"/>
              </w:rPr>
            </w:pPr>
          </w:p>
        </w:tc>
        <w:tc>
          <w:tcPr>
            <w:tcW w:w="1524"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重复利用率</w:t>
            </w:r>
          </w:p>
        </w:tc>
        <w:tc>
          <w:tcPr>
            <w:tcW w:w="2173" w:type="dxa"/>
            <w:noWrap w:val="0"/>
            <w:vAlign w:val="center"/>
          </w:tcPr>
          <w:p>
            <w:pPr>
              <w:adjustRightInd w:val="0"/>
              <w:snapToGrid w:val="0"/>
              <w:jc w:val="center"/>
              <w:rPr>
                <w:rFonts w:hint="default" w:ascii="Times New Roman" w:hAnsi="Times New Roman" w:cs="Times New Roman"/>
                <w:color w:val="auto"/>
              </w:rPr>
            </w:pPr>
          </w:p>
        </w:tc>
        <w:tc>
          <w:tcPr>
            <w:tcW w:w="2875" w:type="dxa"/>
            <w:vMerge w:val="continue"/>
            <w:noWrap w:val="0"/>
            <w:vAlign w:val="center"/>
          </w:tcPr>
          <w:p>
            <w:pPr>
              <w:adjustRightInd w:val="0"/>
              <w:snapToGrid w:val="0"/>
              <w:jc w:val="center"/>
              <w:rPr>
                <w:rFonts w:hint="default" w:ascii="Times New Roman" w:hAnsi="Times New Roman" w:cs="Times New Roman"/>
                <w:color w:val="auto"/>
              </w:rPr>
            </w:pPr>
          </w:p>
        </w:tc>
      </w:tr>
      <w:tr>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87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870" w:type="dxa"/>
            <w:noWrap w:val="0"/>
            <w:vAlign w:val="top"/>
          </w:tcPr>
          <w:p>
            <w:pPr>
              <w:adjustRightInd w:val="0"/>
              <w:snapToGrid w:val="0"/>
              <w:jc w:val="center"/>
              <w:rPr>
                <w:rFonts w:hint="default" w:ascii="Times New Roman" w:hAnsi="Times New Roman" w:eastAsia="仿宋_GB2312" w:cs="Times New Roman"/>
                <w:color w:val="auto"/>
                <w:sz w:val="24"/>
                <w:szCs w:val="24"/>
              </w:rPr>
            </w:pPr>
          </w:p>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75</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3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87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3</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14163" w:type="dxa"/>
            <w:gridSpan w:val="10"/>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34610-2017《节水型企业  炼焦行业》。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3 石油炼制行业技术指标自评表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2855"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加工吨原(料)油取水量</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0.7</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vMerge w:val="restart"/>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252" w:type="dxa"/>
            <w:vMerge w:val="restart"/>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97.5</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浓缩倍数</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倍</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4.0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软化水、除盐水制取系数</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1.1</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蒸汽冷凝水回收率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含硫污水汽提净化水回用率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污(废)水回用率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50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7</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加工吨原(料)油排水量</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kern w:val="0"/>
                <w:sz w:val="24"/>
                <w:szCs w:val="24"/>
              </w:rPr>
              <w:t>≤</w:t>
            </w:r>
            <w:r>
              <w:rPr>
                <w:rFonts w:hint="default" w:ascii="Times New Roman" w:hAnsi="Times New Roman" w:eastAsia="仿宋_GB2312" w:cs="Times New Roman"/>
                <w:color w:val="auto"/>
                <w:kern w:val="0"/>
                <w:sz w:val="24"/>
                <w:szCs w:val="24"/>
              </w:rPr>
              <w:t>0.35</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1257" w:hRule="atLeast"/>
        </w:trPr>
        <w:tc>
          <w:tcPr>
            <w:tcW w:w="14163" w:type="dxa"/>
            <w:gridSpan w:val="7"/>
            <w:noWrap w:val="0"/>
            <w:tcMar>
              <w:top w:w="0" w:type="dxa"/>
              <w:left w:w="108" w:type="dxa"/>
              <w:bottom w:w="0" w:type="dxa"/>
              <w:right w:w="108" w:type="dxa"/>
            </w:tcMar>
            <w:vAlign w:val="center"/>
          </w:tcPr>
          <w:p>
            <w:pPr>
              <w:adjustRightInd w:val="0"/>
              <w:snapToGrid w:val="0"/>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注：1.各参数计算方法参见GB/T 26926-2011 《节水型企业 石油炼制行业》。</w:t>
            </w:r>
          </w:p>
          <w:p>
            <w:pPr>
              <w:adjustRightInd w:val="0"/>
              <w:snapToGrid w:val="0"/>
              <w:rPr>
                <w:rFonts w:hint="default"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 w:val="24"/>
                <w:szCs w:val="24"/>
              </w:rPr>
              <w:t xml:space="preserve">    2.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4 乙烯行业技术指标自评表</w:t>
      </w:r>
    </w:p>
    <w:tbl>
      <w:tblPr>
        <w:tblStyle w:val="6"/>
        <w:tblW w:w="15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12"/>
        <w:gridCol w:w="2350"/>
        <w:gridCol w:w="1378"/>
        <w:gridCol w:w="2910"/>
        <w:gridCol w:w="3223"/>
        <w:gridCol w:w="3094"/>
      </w:tblGrid>
      <w:tr>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7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91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322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09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73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单位乙烯取水量</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6.5</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Cs/>
                <w:color w:val="auto"/>
                <w:sz w:val="24"/>
                <w:szCs w:val="24"/>
              </w:rPr>
              <w:t>化学水制取系数</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bCs/>
                <w:color w:val="auto"/>
                <w:sz w:val="24"/>
                <w:szCs w:val="24"/>
              </w:rPr>
              <w:t>1.1（离子交换树脂工艺）</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vMerge w:val="continue"/>
            <w:noWrap w:val="0"/>
            <w:vAlign w:val="center"/>
          </w:tcPr>
          <w:p>
            <w:pPr>
              <w:adjustRightInd w:val="0"/>
              <w:snapToGrid w:val="0"/>
              <w:rPr>
                <w:rFonts w:hint="default" w:ascii="Times New Roman" w:hAnsi="Times New Roman" w:eastAsia="仿宋_GB2312" w:cs="Times New Roman"/>
                <w:color w:val="auto"/>
                <w:sz w:val="24"/>
                <w:szCs w:val="24"/>
              </w:rPr>
            </w:pP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bCs/>
                <w:color w:val="auto"/>
                <w:sz w:val="24"/>
                <w:szCs w:val="24"/>
              </w:rPr>
              <w:t>1.25（反渗透工艺）</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循环水浓缩倍数</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倍</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5</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蒸汽冷凝水回收率</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80</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排水</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单位乙烯排水量</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1.8</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5379" w:type="dxa"/>
            <w:gridSpan w:val="7"/>
            <w:noWrap w:val="0"/>
            <w:vAlign w:val="center"/>
          </w:tcPr>
          <w:p>
            <w:pPr>
              <w:adjustRightInd w:val="0"/>
              <w:snapToGrid w:val="0"/>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注：1.各参数计算方法参见GB/T 32164-2015《节水型企业 乙烯行业》。</w:t>
            </w:r>
          </w:p>
          <w:p>
            <w:pPr>
              <w:adjustRightInd w:val="0"/>
              <w:snapToGrid w:val="0"/>
              <w:ind w:firstLine="480" w:firstLineChars="200"/>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2.当企业的间接冷却水循环系统的补充水中含有污(废)水回用水时，可将循环水浓缩倍数指标按污(废)水回用水水量占补充水总量的10％递减0.1进行确定。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5 氯碱行业技术指标自评表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rPr>
          <w:trHeight w:val="624"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410"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3093"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176"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1445"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305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16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737" w:hRule="atLeast"/>
          <w:jc w:val="center"/>
        </w:trPr>
        <w:tc>
          <w:tcPr>
            <w:tcW w:w="818"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410"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吨烧碱取水量(30%)</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kern w:val="0"/>
                <w:sz w:val="24"/>
                <w:szCs w:val="24"/>
              </w:rPr>
              <w:t>5.5</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吨电石法聚氯乙烯取水量</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kern w:val="0"/>
                <w:sz w:val="24"/>
                <w:szCs w:val="24"/>
              </w:rPr>
              <w:t>6.0</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吨乙烯法聚氯乙烯取水量</w:t>
            </w:r>
          </w:p>
        </w:tc>
        <w:tc>
          <w:tcPr>
            <w:tcW w:w="117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8.6</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818"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410"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96</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间接冷却水循环率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410"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kern w:val="0"/>
                <w:sz w:val="24"/>
                <w:szCs w:val="24"/>
              </w:rPr>
              <w:t>1.5</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737"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410"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排水量</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达标排放率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100</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rPr>
          <w:trHeight w:val="624" w:hRule="atLeast"/>
          <w:jc w:val="center"/>
        </w:trPr>
        <w:tc>
          <w:tcPr>
            <w:tcW w:w="14163" w:type="dxa"/>
            <w:gridSpan w:val="7"/>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4"/>
                <w:szCs w:val="24"/>
              </w:rPr>
              <w:t>注：各参数计算方法参见GB/T 37271-2018 《节水型企业 氯碱行业》。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6 氮肥行业技术指标自评表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95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26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71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20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4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737" w:hRule="atLeast"/>
          <w:jc w:val="center"/>
        </w:trPr>
        <w:tc>
          <w:tcPr>
            <w:tcW w:w="8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954"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以无烟块煤（型煤）为原料的吨合成氨取水量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以粉煤、褐煤为原料的吨合成氨取水量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12</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以天然气（焦炉气）为原料的吨合成氨取水量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7.5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吨尿素取水量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954"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97</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95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95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624" w:hRule="atLeast"/>
          <w:jc w:val="center"/>
        </w:trPr>
        <w:tc>
          <w:tcPr>
            <w:tcW w:w="14163" w:type="dxa"/>
            <w:gridSpan w:val="7"/>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 w:val="24"/>
                <w:szCs w:val="24"/>
              </w:rPr>
              <w:t>注：各参数计算方法参见GB/T 36895-2018《节水型企业 氮肥行业》。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7 现代煤化工行业技术指标自评表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49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649" w:type="dxa"/>
            <w:gridSpan w:val="2"/>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28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44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81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9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510" w:hRule="atLeast"/>
          <w:jc w:val="center"/>
        </w:trPr>
        <w:tc>
          <w:tcPr>
            <w:tcW w:w="77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9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煤制甲醇吨产品取水量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11</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煤制乙二醇吨产品取水量</w:t>
            </w: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w:t>
            </w:r>
          </w:p>
        </w:tc>
        <w:tc>
          <w:tcPr>
            <w:tcW w:w="12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20</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noWrap w:val="0"/>
            <w:vAlign w:val="center"/>
          </w:tcPr>
          <w:p>
            <w:pPr>
              <w:adjustRightInd w:val="0"/>
              <w:snapToGrid w:val="0"/>
              <w:jc w:val="left"/>
              <w:rPr>
                <w:rFonts w:hint="default" w:ascii="Times New Roman" w:hAnsi="Times New Roman" w:eastAsia="仿宋_GB2312" w:cs="Times New Roman"/>
                <w:color w:val="auto"/>
                <w:sz w:val="24"/>
                <w:szCs w:val="24"/>
              </w:rPr>
            </w:pP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合成气制乙二醇</w:t>
            </w:r>
          </w:p>
        </w:tc>
        <w:tc>
          <w:tcPr>
            <w:tcW w:w="1289"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12</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煤制油吨产品取水量</w:t>
            </w: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煤炭直接液化</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6.5</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noWrap w:val="0"/>
            <w:vAlign w:val="center"/>
          </w:tcPr>
          <w:p>
            <w:pPr>
              <w:adjustRightInd w:val="0"/>
              <w:snapToGrid w:val="0"/>
              <w:jc w:val="left"/>
              <w:rPr>
                <w:rFonts w:hint="default" w:ascii="Times New Roman" w:hAnsi="Times New Roman" w:eastAsia="仿宋_GB2312" w:cs="Times New Roman"/>
                <w:color w:val="auto"/>
                <w:sz w:val="24"/>
                <w:szCs w:val="24"/>
              </w:rPr>
            </w:pP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煤炭间接液化</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10.75</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煤制合成天然气吨产品取水量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/kNm</w:t>
            </w:r>
            <w:r>
              <w:rPr>
                <w:rFonts w:hint="default" w:ascii="Times New Roman" w:hAnsi="Times New Roman" w:eastAsia="仿宋_GB2312" w:cs="Times New Roman"/>
                <w:color w:val="auto"/>
                <w:sz w:val="24"/>
                <w:szCs w:val="24"/>
                <w:vertAlign w:val="superscript"/>
              </w:rPr>
              <w:t>3</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8</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煤制烯烃吨产品取水量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24</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9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97</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9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49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10" w:hRule="atLeast"/>
          <w:jc w:val="center"/>
        </w:trPr>
        <w:tc>
          <w:tcPr>
            <w:tcW w:w="14163" w:type="dxa"/>
            <w:gridSpan w:val="8"/>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 w:val="24"/>
                <w:szCs w:val="24"/>
              </w:rPr>
              <w:t>注：各参数计算方法参见GB/T 37759-2019 《节水型企业 现代煤化工行业》。</w:t>
            </w:r>
          </w:p>
        </w:tc>
      </w:tr>
    </w:tbl>
    <w:p>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8 纺织染整行业技术指标自评表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01"/>
        <w:gridCol w:w="2931"/>
        <w:gridCol w:w="1559"/>
        <w:gridCol w:w="1858"/>
        <w:gridCol w:w="2842"/>
        <w:gridCol w:w="3476"/>
      </w:tblGrid>
      <w:tr>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50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93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55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85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284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47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56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50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rPr>
              <w:t>单位产品取水量</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棉、麻、化纤及混纺机织物</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2</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丝绸机织物</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3</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针织物及纱线</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100</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50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45</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间接冷却水循环率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95</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冷凝水回用率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98</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20</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50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6</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567" w:hRule="atLeast"/>
          <w:jc w:val="center"/>
        </w:trPr>
        <w:tc>
          <w:tcPr>
            <w:tcW w:w="15379" w:type="dxa"/>
            <w:gridSpan w:val="7"/>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注：1.各参数计算方法参见GB/T 26923-2011《节水型企业 纺织染整行业》。</w:t>
            </w:r>
          </w:p>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r>
              <w:rPr>
                <w:rFonts w:hint="eastAsia" w:cs="Times New Roman"/>
                <w:color w:val="auto"/>
                <w:sz w:val="24"/>
                <w:lang w:val="en-US" w:eastAsia="zh-CN"/>
              </w:rPr>
              <w:t xml:space="preserve">   </w:t>
            </w:r>
            <w:r>
              <w:rPr>
                <w:rFonts w:hint="default" w:ascii="Times New Roman" w:hAnsi="Times New Roman" w:eastAsia="仿宋_GB2312" w:cs="Times New Roman"/>
                <w:color w:val="auto"/>
                <w:sz w:val="24"/>
              </w:rPr>
              <w:t>2.以棉色布为标准品，将标准品折合系数为1，机织物百米基准值为布幅宽度106cm、布重12.00kg/100m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01002-2010《印染企业综合能耗计算办法及基本定额》中附录B的规定进行换算。</w:t>
            </w:r>
          </w:p>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z w:val="24"/>
              </w:rPr>
              <w:t>3.毛织物单位产品取水量考核指标另行制定。</w:t>
            </w:r>
          </w:p>
        </w:tc>
      </w:tr>
    </w:tbl>
    <w:p>
      <w:pPr>
        <w:spacing w:after="312" w:afterLines="100" w:line="360" w:lineRule="auto"/>
        <w:jc w:val="center"/>
        <w:textAlignment w:val="baseline"/>
        <w:rPr>
          <w:rFonts w:hint="default" w:ascii="Times New Roman" w:hAnsi="Times New Roman" w:eastAsia="黑体" w:cs="Times New Roman"/>
          <w:bCs/>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9 化纤长丝织造行业技术指标自评表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trPr>
          <w:trHeight w:val="624" w:hRule="atLeast"/>
          <w:jc w:val="center"/>
        </w:trPr>
        <w:tc>
          <w:tcPr>
            <w:tcW w:w="1427" w:type="dxa"/>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428" w:type="dxa"/>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3133"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632"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753"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2929"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1861"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rPr>
          <w:trHeight w:val="624" w:hRule="atLeast"/>
          <w:jc w:val="center"/>
        </w:trPr>
        <w:tc>
          <w:tcPr>
            <w:tcW w:w="1427"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428"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单位产品取水量</w:t>
            </w:r>
          </w:p>
        </w:tc>
        <w:tc>
          <w:tcPr>
            <w:tcW w:w="1371" w:type="dxa"/>
            <w:vMerge w:val="restart"/>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喷水织造</w:t>
            </w: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涤纶长丝织物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0.9</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371" w:type="dxa"/>
            <w:vMerge w:val="continue"/>
            <w:noWrap w:val="0"/>
            <w:vAlign w:val="center"/>
          </w:tcPr>
          <w:p>
            <w:pPr>
              <w:adjustRightInd w:val="0"/>
              <w:snapToGrid w:val="0"/>
              <w:rPr>
                <w:rFonts w:hint="default" w:ascii="Times New Roman" w:hAnsi="Times New Roman" w:eastAsia="仿宋_GB2312" w:cs="Times New Roman"/>
                <w:color w:val="auto"/>
                <w:sz w:val="24"/>
              </w:rPr>
            </w:pP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锦纶长丝织物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0.8</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37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非喷水织造</w:t>
            </w: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涤纶、锦纶、人造丝织物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0.3</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428"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蒸汽冷凝水回用率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85</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80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27"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142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rPr>
              <w:t>3</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rPr>
          <w:trHeight w:val="624" w:hRule="atLeast"/>
          <w:jc w:val="center"/>
        </w:trPr>
        <w:tc>
          <w:tcPr>
            <w:tcW w:w="14163" w:type="dxa"/>
            <w:gridSpan w:val="8"/>
            <w:noWrap w:val="0"/>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rPr>
              <w:t>注：各参数计算方法参见GB/T 37832-2019《节水型企业 化纤长丝织造行业》。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10 造纸行业技术指标自评表</w:t>
      </w:r>
    </w:p>
    <w:tbl>
      <w:tblPr>
        <w:tblStyle w:val="6"/>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259"/>
        <w:gridCol w:w="2000"/>
        <w:gridCol w:w="1282"/>
        <w:gridCol w:w="2486"/>
        <w:gridCol w:w="923"/>
        <w:gridCol w:w="1805"/>
        <w:gridCol w:w="1880"/>
        <w:gridCol w:w="1828"/>
      </w:tblGrid>
      <w:tr>
        <w:trPr>
          <w:trHeight w:val="533" w:hRule="atLeast"/>
          <w:jc w:val="center"/>
        </w:trPr>
        <w:tc>
          <w:tcPr>
            <w:tcW w:w="31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43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2007" w:type="pct"/>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3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6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63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rPr>
          <w:trHeight w:val="420" w:hRule="atLeast"/>
          <w:jc w:val="center"/>
        </w:trPr>
        <w:tc>
          <w:tcPr>
            <w:tcW w:w="316" w:type="pct"/>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438" w:type="pct"/>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取水</w:t>
            </w:r>
          </w:p>
        </w:tc>
        <w:tc>
          <w:tcPr>
            <w:tcW w:w="696" w:type="pct"/>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单位产品取水量</w:t>
            </w:r>
            <w:r>
              <w:rPr>
                <w:rFonts w:hint="eastAsia" w:cs="Times New Roman"/>
                <w:color w:val="auto"/>
                <w:sz w:val="24"/>
                <w:vertAlign w:val="superscript"/>
                <w:lang w:val="en-US" w:eastAsia="zh-CN"/>
              </w:rPr>
              <w:t>a</w:t>
            </w:r>
          </w:p>
        </w:tc>
        <w:tc>
          <w:tcPr>
            <w:tcW w:w="446"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cs="Times New Roman"/>
                <w:color w:val="auto"/>
                <w:sz w:val="24"/>
                <w:lang w:val="en-US" w:eastAsia="zh-CN"/>
              </w:rPr>
              <w:t>纸浆</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漂白化学木浆</w:t>
            </w:r>
          </w:p>
        </w:tc>
        <w:tc>
          <w:tcPr>
            <w:tcW w:w="321"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50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eastAsia" w:cs="Times New Roman"/>
                <w:color w:val="auto"/>
                <w:sz w:val="24"/>
                <w:lang w:val="en-US" w:eastAsia="zh-CN"/>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eastAsia" w:cs="Times New Roman"/>
                <w:color w:val="auto"/>
                <w:sz w:val="24"/>
                <w:lang w:val="en-US" w:eastAsia="zh-CN"/>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溶解级木浆</w:t>
            </w:r>
          </w:p>
        </w:tc>
        <w:tc>
          <w:tcPr>
            <w:tcW w:w="321" w:type="pct"/>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55</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本色化学木浆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4</w:t>
            </w:r>
            <w:r>
              <w:rPr>
                <w:rFonts w:hint="default" w:ascii="Times New Roman" w:hAnsi="Times New Roman" w:eastAsia="仿宋_GB2312" w:cs="Times New Roman"/>
                <w:color w:val="auto"/>
                <w:sz w:val="24"/>
              </w:rPr>
              <w:t>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w:t>
            </w:r>
            <w:r>
              <w:rPr>
                <w:rFonts w:hint="eastAsia" w:cs="Times New Roman"/>
                <w:color w:val="auto"/>
                <w:sz w:val="24"/>
                <w:lang w:val="en-US" w:eastAsia="zh-CN"/>
              </w:rPr>
              <w:t>竹</w:t>
            </w:r>
            <w:r>
              <w:rPr>
                <w:rFonts w:hint="default" w:ascii="Times New Roman" w:hAnsi="Times New Roman" w:eastAsia="仿宋_GB2312" w:cs="Times New Roman"/>
                <w:color w:val="auto"/>
                <w:sz w:val="24"/>
              </w:rPr>
              <w:t>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55</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溶解级竹浆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PingFang SC" w:hAnsi="PingFang SC" w:eastAsia="PingFang SC" w:cs="PingFang SC"/>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60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cs="Times New Roman"/>
                <w:color w:val="auto"/>
                <w:sz w:val="24"/>
                <w:lang w:val="en-US" w:eastAsia="zh-CN"/>
              </w:rPr>
            </w:pPr>
            <w:r>
              <w:rPr>
                <w:rFonts w:hint="default" w:ascii="Times New Roman" w:hAnsi="Times New Roman" w:eastAsia="仿宋_GB2312" w:cs="Times New Roman"/>
                <w:color w:val="auto"/>
                <w:sz w:val="24"/>
              </w:rPr>
              <w:t>本色化学</w:t>
            </w:r>
            <w:r>
              <w:rPr>
                <w:rFonts w:hint="eastAsia" w:cs="Times New Roman"/>
                <w:color w:val="auto"/>
                <w:sz w:val="24"/>
                <w:lang w:val="en-US" w:eastAsia="zh-CN"/>
              </w:rPr>
              <w:t>竹</w:t>
            </w:r>
            <w:r>
              <w:rPr>
                <w:rFonts w:hint="default" w:ascii="Times New Roman" w:hAnsi="Times New Roman" w:eastAsia="仿宋_GB2312" w:cs="Times New Roman"/>
                <w:color w:val="auto"/>
                <w:sz w:val="24"/>
              </w:rPr>
              <w:t>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PingFang SC" w:hAnsi="PingFang SC" w:eastAsia="PingFang SC" w:cs="PingFang SC"/>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45</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漂白化学非木（麦草、芦苇、甘蔗渣）浆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70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脱墨废纸浆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2</w:t>
            </w:r>
            <w:r>
              <w:rPr>
                <w:rFonts w:hint="default" w:cs="Times New Roman"/>
                <w:color w:val="auto"/>
                <w:sz w:val="24"/>
                <w:lang w:val="en-US" w:eastAsia="zh-CN"/>
              </w:rPr>
              <w:t>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漂白脱墨废纸浆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default" w:ascii="Times New Roman" w:hAnsi="Times New Roman" w:eastAsia="仿宋_GB2312" w:cs="Times New Roman"/>
                <w:color w:val="auto"/>
                <w:sz w:val="24"/>
              </w:rPr>
              <w:t>2</w:t>
            </w:r>
            <w:r>
              <w:rPr>
                <w:rFonts w:hint="eastAsia" w:cs="Times New Roman"/>
                <w:color w:val="auto"/>
                <w:sz w:val="24"/>
                <w:lang w:val="en-US" w:eastAsia="zh-CN"/>
              </w:rPr>
              <w:t>8</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未脱墨废纸浆</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12</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化学机械木浆</w:t>
            </w:r>
          </w:p>
        </w:tc>
        <w:tc>
          <w:tcPr>
            <w:tcW w:w="321"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PingFang SC" w:hAnsi="PingFang SC" w:eastAsia="PingFang SC" w:cs="PingFang SC"/>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22</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cs="Times New Roman"/>
                <w:color w:val="auto"/>
                <w:sz w:val="24"/>
                <w:lang w:val="en-US" w:eastAsia="zh-CN"/>
              </w:rPr>
              <w:t>纸</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新闻纸</w:t>
            </w:r>
          </w:p>
        </w:tc>
        <w:tc>
          <w:tcPr>
            <w:tcW w:w="321"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default" w:ascii="Times New Roman" w:hAnsi="Times New Roman" w:eastAsia="仿宋_GB2312" w:cs="Times New Roman"/>
                <w:color w:val="auto"/>
                <w:sz w:val="24"/>
              </w:rPr>
              <w:t>1</w:t>
            </w:r>
            <w:r>
              <w:rPr>
                <w:rFonts w:hint="eastAsia" w:cs="Times New Roman"/>
                <w:color w:val="auto"/>
                <w:sz w:val="24"/>
                <w:lang w:val="en-US" w:eastAsia="zh-CN"/>
              </w:rPr>
              <w:t>5</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eastAsia" w:cs="Times New Roman"/>
                <w:color w:val="auto"/>
                <w:sz w:val="24"/>
                <w:lang w:val="en-US" w:eastAsia="zh-CN"/>
              </w:rPr>
              <w:t>未涂布</w:t>
            </w:r>
            <w:r>
              <w:rPr>
                <w:rFonts w:hint="default" w:ascii="Times New Roman" w:hAnsi="Times New Roman" w:eastAsia="仿宋_GB2312" w:cs="Times New Roman"/>
                <w:color w:val="auto"/>
                <w:sz w:val="24"/>
              </w:rPr>
              <w:t>印刷书写纸</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20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生活用纸</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14</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包装用纸</w:t>
            </w:r>
          </w:p>
        </w:tc>
        <w:tc>
          <w:tcPr>
            <w:tcW w:w="321"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lang w:val="en-US" w:eastAsia="zh-CN"/>
              </w:rPr>
              <w:t>≤</w:t>
            </w:r>
            <w:r>
              <w:rPr>
                <w:rFonts w:hint="default" w:ascii="Times New Roman" w:hAnsi="Times New Roman" w:eastAsia="仿宋_GB2312" w:cs="Times New Roman"/>
                <w:color w:val="auto"/>
                <w:sz w:val="24"/>
              </w:rPr>
              <w:t>20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cs="Times New Roman"/>
                <w:color w:val="auto"/>
                <w:sz w:val="24"/>
                <w:lang w:val="en-US" w:eastAsia="zh-CN"/>
              </w:rPr>
              <w:t>纸板</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白纸板</w:t>
            </w:r>
          </w:p>
        </w:tc>
        <w:tc>
          <w:tcPr>
            <w:tcW w:w="321" w:type="pct"/>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2</w:t>
            </w:r>
            <w:r>
              <w:rPr>
                <w:rFonts w:hint="default" w:ascii="Times New Roman" w:hAnsi="Times New Roman" w:eastAsia="仿宋_GB2312" w:cs="Times New Roman"/>
                <w:color w:val="auto"/>
                <w:sz w:val="24"/>
              </w:rPr>
              <w:t>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箱纸板</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15</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96" w:type="pct"/>
            <w:vMerge w:val="continue"/>
            <w:tcBorders>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446" w:type="pct"/>
            <w:vMerge w:val="continue"/>
            <w:tcBorders>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瓦楞原纸</w:t>
            </w:r>
          </w:p>
        </w:tc>
        <w:tc>
          <w:tcPr>
            <w:tcW w:w="321"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lang w:val="en-US" w:eastAsia="zh-CN"/>
              </w:rPr>
              <w:t>≤</w:t>
            </w:r>
            <w:r>
              <w:rPr>
                <w:rFonts w:hint="eastAsia" w:cs="Times New Roman"/>
                <w:color w:val="auto"/>
                <w:sz w:val="24"/>
                <w:lang w:val="en-US" w:eastAsia="zh-CN"/>
              </w:rPr>
              <w:t>12</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438"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1142" w:type="pct"/>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cs="Times New Roman"/>
                <w:color w:val="auto"/>
                <w:sz w:val="24"/>
                <w:lang w:val="en-US" w:eastAsia="zh-CN"/>
              </w:rPr>
              <w:t>重复利用率</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纸浆</w:t>
            </w:r>
            <w:r>
              <w:rPr>
                <w:rFonts w:hint="eastAsia" w:cs="Times New Roman"/>
                <w:color w:val="auto"/>
                <w:sz w:val="24"/>
                <w:lang w:val="en-US" w:eastAsia="zh-CN"/>
              </w:rPr>
              <w:t>企业</w:t>
            </w:r>
          </w:p>
        </w:tc>
        <w:tc>
          <w:tcPr>
            <w:tcW w:w="321"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7</w:t>
            </w:r>
            <w:r>
              <w:rPr>
                <w:rFonts w:hint="eastAsia" w:cs="Times New Roman"/>
                <w:color w:val="auto"/>
                <w:sz w:val="24"/>
                <w:lang w:val="en-US" w:eastAsia="zh-CN"/>
              </w:rPr>
              <w:t>5</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142" w:type="pct"/>
            <w:gridSpan w:val="2"/>
            <w:vMerge w:val="continue"/>
            <w:tcBorders>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纸及纸板</w:t>
            </w:r>
            <w:r>
              <w:rPr>
                <w:rFonts w:hint="eastAsia" w:cs="Times New Roman"/>
                <w:color w:val="auto"/>
                <w:sz w:val="24"/>
                <w:lang w:val="en-US" w:eastAsia="zh-CN"/>
              </w:rPr>
              <w:t>企业</w:t>
            </w:r>
          </w:p>
        </w:tc>
        <w:tc>
          <w:tcPr>
            <w:tcW w:w="321" w:type="pct"/>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rPr>
              <w:t>≥</w:t>
            </w:r>
            <w:r>
              <w:rPr>
                <w:rFonts w:hint="default" w:ascii="Times New Roman" w:hAnsi="Times New Roman" w:eastAsia="仿宋_GB2312" w:cs="Times New Roman"/>
                <w:color w:val="auto"/>
                <w:sz w:val="24"/>
              </w:rPr>
              <w:t>8</w:t>
            </w:r>
            <w:r>
              <w:rPr>
                <w:rFonts w:hint="eastAsia" w:cs="Times New Roman"/>
                <w:color w:val="auto"/>
                <w:sz w:val="24"/>
                <w:lang w:val="en-US" w:eastAsia="zh-CN"/>
              </w:rPr>
              <w:t>8</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420" w:hRule="atLeast"/>
          <w:jc w:val="center"/>
        </w:trPr>
        <w:tc>
          <w:tcPr>
            <w:tcW w:w="316"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438"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142" w:type="pct"/>
            <w:gridSpan w:val="2"/>
            <w:vMerge w:val="continue"/>
            <w:tcBorders>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浆纸联合企业</w:t>
            </w:r>
            <w:r>
              <w:rPr>
                <w:rFonts w:hint="eastAsia" w:cs="Times New Roman"/>
                <w:color w:val="auto"/>
                <w:sz w:val="24"/>
                <w:vertAlign w:val="superscript"/>
                <w:lang w:val="en-US" w:eastAsia="zh-CN"/>
              </w:rPr>
              <w:t>b</w:t>
            </w:r>
          </w:p>
        </w:tc>
        <w:tc>
          <w:tcPr>
            <w:tcW w:w="321"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eastAsia" w:ascii="PingFang SC" w:hAnsi="PingFang SC" w:eastAsia="PingFang SC" w:cs="PingFang SC"/>
                <w:color w:val="auto"/>
                <w:sz w:val="24"/>
              </w:rPr>
              <w:t>≥</w:t>
            </w:r>
            <w:r>
              <w:rPr>
                <w:rFonts w:hint="eastAsia" w:cs="Times New Roman"/>
                <w:color w:val="auto"/>
                <w:sz w:val="24"/>
                <w:lang w:val="en-US" w:eastAsia="zh-CN"/>
              </w:rPr>
              <w:t>90</w:t>
            </w:r>
          </w:p>
        </w:tc>
        <w:tc>
          <w:tcPr>
            <w:tcW w:w="65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rPr>
          <w:trHeight w:val="533"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注：1.各参数计算方法参见GB/T 26927-2011《节水型企业 造纸行业》。</w:t>
            </w:r>
          </w:p>
          <w:p>
            <w:pPr>
              <w:adjustRightInd w:val="0"/>
              <w:snapToGrid w:val="0"/>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2.</w:t>
            </w:r>
            <w:r>
              <w:rPr>
                <w:rFonts w:hint="eastAsia" w:cs="Times New Roman"/>
                <w:color w:val="auto"/>
                <w:sz w:val="24"/>
                <w:lang w:val="en-US" w:eastAsia="zh-CN"/>
              </w:rPr>
              <w:t>半化学本色木浆及半化学草浆按本色化学木浆执行。</w:t>
            </w:r>
          </w:p>
          <w:p>
            <w:pPr>
              <w:adjustRightInd w:val="0"/>
              <w:snapToGrid w:val="0"/>
              <w:ind w:firstLine="480" w:firstLineChars="200"/>
              <w:rPr>
                <w:rFonts w:hint="default" w:cs="Times New Roman"/>
                <w:color w:val="auto"/>
                <w:sz w:val="24"/>
                <w:lang w:val="en-US" w:eastAsia="zh-CN"/>
              </w:rPr>
            </w:pPr>
            <w:r>
              <w:rPr>
                <w:rFonts w:hint="eastAsia" w:cs="Times New Roman"/>
                <w:color w:val="auto"/>
                <w:sz w:val="24"/>
                <w:lang w:val="en-US" w:eastAsia="zh-CN"/>
              </w:rPr>
              <w:t>3.机械木浆按化学机械木浆执行。</w:t>
            </w:r>
          </w:p>
          <w:p>
            <w:pPr>
              <w:adjustRightInd w:val="0"/>
              <w:snapToGrid w:val="0"/>
              <w:ind w:firstLine="480" w:firstLineChars="200"/>
              <w:rPr>
                <w:rFonts w:hint="default" w:ascii="Times New Roman" w:hAnsi="Times New Roman" w:eastAsia="仿宋_GB2312" w:cs="Times New Roman"/>
                <w:color w:val="auto"/>
                <w:sz w:val="24"/>
              </w:rPr>
            </w:pPr>
            <w:r>
              <w:rPr>
                <w:rFonts w:hint="eastAsia" w:cs="Times New Roman"/>
                <w:color w:val="auto"/>
                <w:sz w:val="24"/>
                <w:lang w:val="en-US" w:eastAsia="zh-CN"/>
              </w:rPr>
              <w:t>4.</w:t>
            </w:r>
            <w:r>
              <w:rPr>
                <w:rFonts w:hint="default" w:ascii="Times New Roman" w:hAnsi="Times New Roman" w:eastAsia="仿宋_GB2312" w:cs="Times New Roman"/>
                <w:color w:val="auto"/>
                <w:sz w:val="24"/>
              </w:rPr>
              <w:t>经抄浆机生产浆板时，</w:t>
            </w:r>
            <w:r>
              <w:rPr>
                <w:rFonts w:hint="eastAsia" w:cs="Times New Roman"/>
                <w:color w:val="auto"/>
                <w:sz w:val="24"/>
                <w:lang w:val="en-US" w:eastAsia="zh-CN"/>
              </w:rPr>
              <w:t>在本文件纸浆的技术指标基础上增加3</w:t>
            </w: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p>
            <w:pPr>
              <w:adjustRightInd w:val="0"/>
              <w:snapToGrid w:val="0"/>
              <w:ind w:firstLine="480" w:firstLineChars="200"/>
              <w:rPr>
                <w:rFonts w:hint="default" w:ascii="Times New Roman" w:hAnsi="Times New Roman" w:eastAsia="仿宋_GB2312" w:cs="Times New Roman"/>
                <w:color w:val="auto"/>
                <w:sz w:val="24"/>
              </w:rPr>
            </w:pPr>
            <w:r>
              <w:rPr>
                <w:rFonts w:hint="eastAsia" w:cs="Times New Roman"/>
                <w:color w:val="auto"/>
                <w:sz w:val="24"/>
                <w:lang w:val="en-US" w:eastAsia="zh-CN"/>
              </w:rPr>
              <w:t>5</w:t>
            </w:r>
            <w:r>
              <w:rPr>
                <w:rFonts w:hint="default" w:ascii="Times New Roman" w:hAnsi="Times New Roman" w:eastAsia="仿宋_GB2312" w:cs="Times New Roman"/>
                <w:color w:val="auto"/>
                <w:sz w:val="24"/>
              </w:rPr>
              <w:t>.</w:t>
            </w:r>
            <w:r>
              <w:rPr>
                <w:rFonts w:hint="eastAsia" w:cs="Times New Roman"/>
                <w:color w:val="auto"/>
                <w:sz w:val="24"/>
                <w:lang w:val="en-US" w:eastAsia="zh-CN"/>
              </w:rPr>
              <w:t>增加涂布工艺时，与本表相关产品的指标保持一致</w:t>
            </w:r>
            <w:r>
              <w:rPr>
                <w:rFonts w:hint="default" w:ascii="Times New Roman" w:hAnsi="Times New Roman" w:eastAsia="仿宋_GB2312" w:cs="Times New Roman"/>
                <w:color w:val="auto"/>
                <w:sz w:val="24"/>
              </w:rPr>
              <w:t>。</w:t>
            </w:r>
          </w:p>
          <w:p>
            <w:pPr>
              <w:adjustRightInd w:val="0"/>
              <w:snapToGrid w:val="0"/>
              <w:ind w:firstLine="480" w:firstLineChars="200"/>
              <w:rPr>
                <w:rFonts w:hint="default" w:cs="Times New Roman"/>
                <w:color w:val="auto"/>
                <w:sz w:val="24"/>
                <w:lang w:val="en-US" w:eastAsia="zh-CN"/>
              </w:rPr>
            </w:pPr>
            <w:r>
              <w:rPr>
                <w:rFonts w:hint="eastAsia" w:cs="Times New Roman"/>
                <w:color w:val="auto"/>
                <w:sz w:val="24"/>
                <w:lang w:val="en-US" w:eastAsia="zh-CN"/>
              </w:rPr>
              <w:t>纸浆的计量单位为吨风干浆（含水10%）</w:t>
            </w:r>
            <w:r>
              <w:rPr>
                <w:rFonts w:hint="default" w:cs="Times New Roman"/>
                <w:color w:val="auto"/>
                <w:sz w:val="24"/>
                <w:lang w:val="en-US" w:eastAsia="zh-CN"/>
              </w:rPr>
              <w:t>。</w:t>
            </w:r>
          </w:p>
          <w:p>
            <w:pPr>
              <w:adjustRightInd w:val="0"/>
              <w:snapToGrid w:val="0"/>
              <w:ind w:firstLine="480" w:firstLineChars="200"/>
              <w:rPr>
                <w:rFonts w:hint="eastAsia" w:cs="Times New Roman"/>
                <w:color w:val="auto"/>
                <w:sz w:val="24"/>
                <w:lang w:val="en-US" w:eastAsia="zh-CN"/>
              </w:rPr>
            </w:pPr>
            <w:r>
              <w:rPr>
                <w:rFonts w:hint="eastAsia" w:cs="Times New Roman"/>
                <w:color w:val="auto"/>
                <w:sz w:val="24"/>
                <w:vertAlign w:val="superscript"/>
                <w:lang w:val="en-US" w:eastAsia="zh-CN"/>
              </w:rPr>
              <w:t>a</w:t>
            </w:r>
            <w:r>
              <w:rPr>
                <w:rFonts w:hint="eastAsia" w:cs="Times New Roman"/>
                <w:color w:val="auto"/>
                <w:sz w:val="24"/>
                <w:lang w:val="en-US" w:eastAsia="zh-CN"/>
              </w:rPr>
              <w:t>取水量计算范围按照GB/T 18820的规定执行。</w:t>
            </w:r>
          </w:p>
          <w:p>
            <w:pPr>
              <w:adjustRightInd w:val="0"/>
              <w:snapToGrid w:val="0"/>
              <w:ind w:firstLine="480" w:firstLineChars="200"/>
              <w:rPr>
                <w:rFonts w:hint="default"/>
                <w:lang w:val="en-US" w:eastAsia="zh-CN"/>
              </w:rPr>
            </w:pPr>
            <w:r>
              <w:rPr>
                <w:rFonts w:hint="eastAsia" w:cs="Times New Roman"/>
                <w:color w:val="auto"/>
                <w:sz w:val="24"/>
                <w:vertAlign w:val="superscript"/>
                <w:lang w:val="en-US" w:eastAsia="zh-CN"/>
              </w:rPr>
              <w:t>b</w:t>
            </w:r>
            <w:r>
              <w:rPr>
                <w:rFonts w:hint="eastAsia" w:cs="Times New Roman"/>
                <w:color w:val="auto"/>
                <w:sz w:val="24"/>
                <w:lang w:val="en-US" w:eastAsia="zh-CN"/>
              </w:rPr>
              <w:t>适用于同时进行纸浆、纸及纸板生产的企业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11 啤酒行业技术指标自评表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rPr>
          <w:trHeight w:val="737" w:hRule="atLeast"/>
        </w:trPr>
        <w:tc>
          <w:tcPr>
            <w:tcW w:w="122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2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67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66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68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rPr>
          <w:trHeight w:val="737" w:hRule="atLeast"/>
        </w:trPr>
        <w:tc>
          <w:tcPr>
            <w:tcW w:w="122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2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千升啤酒取水量</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/kL</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4.0</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trPr>
        <w:tc>
          <w:tcPr>
            <w:tcW w:w="122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2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70</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trPr>
        <w:tc>
          <w:tcPr>
            <w:tcW w:w="122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2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间接冷却循环率</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95</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trPr>
        <w:tc>
          <w:tcPr>
            <w:tcW w:w="14163"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35576-2017《节水型企业  啤酒行业》。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12 味精行业技术指标自评表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368"/>
        <w:gridCol w:w="2292"/>
        <w:gridCol w:w="1459"/>
        <w:gridCol w:w="1510"/>
        <w:gridCol w:w="2507"/>
        <w:gridCol w:w="3042"/>
      </w:tblGrid>
      <w:tr>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292"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rPr>
              <w:t>技术</w:t>
            </w:r>
            <w:r>
              <w:rPr>
                <w:rFonts w:hint="default" w:ascii="Times New Roman" w:hAnsi="Times New Roman" w:eastAsia="仿宋_GB2312" w:cs="Times New Roman"/>
                <w:b w:val="0"/>
                <w:bCs/>
                <w:color w:val="auto"/>
                <w:sz w:val="24"/>
                <w:szCs w:val="24"/>
              </w:rPr>
              <w:t>指标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507" w:type="dxa"/>
            <w:tcBorders>
              <w:top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3042" w:type="dxa"/>
            <w:tcBorders>
              <w:top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eastAsia" w:cs="Times New Roman"/>
                <w:color w:val="auto"/>
                <w:sz w:val="24"/>
                <w:szCs w:val="24"/>
                <w:lang w:val="en-US" w:eastAsia="zh-CN"/>
              </w:rPr>
              <w:t>单位产品</w:t>
            </w:r>
            <w:r>
              <w:rPr>
                <w:rFonts w:hint="default" w:ascii="Times New Roman" w:hAnsi="Times New Roman" w:eastAsia="仿宋_GB2312" w:cs="Times New Roman"/>
                <w:color w:val="auto"/>
                <w:sz w:val="24"/>
                <w:szCs w:val="24"/>
              </w:rPr>
              <w:t>取水量</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lang w:val="en-US" w:eastAsia="zh-CN"/>
              </w:rPr>
              <w:t>≤</w:t>
            </w:r>
            <w:r>
              <w:rPr>
                <w:rFonts w:hint="eastAsia" w:cs="Times New Roman"/>
                <w:color w:val="auto"/>
                <w:sz w:val="24"/>
                <w:szCs w:val="24"/>
                <w:lang w:val="en-US" w:eastAsia="zh-CN"/>
              </w:rPr>
              <w:t>1</w:t>
            </w:r>
            <w:r>
              <w:rPr>
                <w:rFonts w:hint="default" w:ascii="Times New Roman" w:hAnsi="Times New Roman" w:eastAsia="仿宋_GB2312" w:cs="Times New Roman"/>
                <w:color w:val="auto"/>
                <w:sz w:val="24"/>
                <w:szCs w:val="24"/>
              </w:rPr>
              <w:t>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368" w:type="dxa"/>
            <w:vMerge w:val="restart"/>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59" w:type="dxa"/>
            <w:vMerge w:val="restart"/>
            <w:tcBorders>
              <w:top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92</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368" w:type="dxa"/>
            <w:vMerge w:val="continue"/>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459"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4</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59" w:type="dxa"/>
            <w:vMerge w:val="continue"/>
            <w:tcBorders>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3</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737"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szCs w:val="24"/>
              </w:rPr>
              <w:t>注：各参数计算方法参见GB/T 32165-20</w:t>
            </w:r>
            <w:r>
              <w:rPr>
                <w:rFonts w:hint="eastAsia" w:cs="Times New Roman"/>
                <w:color w:val="auto"/>
                <w:sz w:val="24"/>
                <w:szCs w:val="24"/>
                <w:lang w:val="en-US" w:eastAsia="zh-CN"/>
              </w:rPr>
              <w:t>23</w:t>
            </w:r>
            <w:r>
              <w:rPr>
                <w:rFonts w:hint="default" w:ascii="Times New Roman" w:hAnsi="Times New Roman" w:eastAsia="仿宋_GB2312" w:cs="Times New Roman"/>
                <w:color w:val="auto"/>
                <w:sz w:val="24"/>
                <w:szCs w:val="24"/>
              </w:rPr>
              <w:t xml:space="preserve">《节水型企业 </w:t>
            </w:r>
            <w:r>
              <w:rPr>
                <w:rFonts w:hint="eastAsia" w:cs="Times New Roman"/>
                <w:color w:val="auto"/>
                <w:sz w:val="24"/>
                <w:szCs w:val="24"/>
                <w:lang w:val="en-US" w:eastAsia="zh-CN"/>
              </w:rPr>
              <w:t>发酵</w:t>
            </w:r>
            <w:r>
              <w:rPr>
                <w:rFonts w:hint="default" w:ascii="Times New Roman" w:hAnsi="Times New Roman" w:eastAsia="仿宋_GB2312" w:cs="Times New Roman"/>
                <w:color w:val="auto"/>
                <w:sz w:val="24"/>
                <w:szCs w:val="24"/>
              </w:rPr>
              <w:t>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13 氧化铝行业技术指标自评表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rPr>
          <w:trHeight w:val="689" w:hRule="atLeast"/>
        </w:trPr>
        <w:tc>
          <w:tcPr>
            <w:tcW w:w="777"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98"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01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991"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97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拜耳法考核值</w:t>
            </w:r>
          </w:p>
        </w:tc>
        <w:tc>
          <w:tcPr>
            <w:tcW w:w="104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烧结法考核值</w:t>
            </w:r>
          </w:p>
        </w:tc>
        <w:tc>
          <w:tcPr>
            <w:tcW w:w="107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联合法考核值</w:t>
            </w:r>
          </w:p>
        </w:tc>
        <w:tc>
          <w:tcPr>
            <w:tcW w:w="3873" w:type="dxa"/>
            <w:gridSpan w:val="2"/>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116"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689" w:hRule="atLeast"/>
        </w:trPr>
        <w:tc>
          <w:tcPr>
            <w:tcW w:w="777" w:type="dxa"/>
            <w:vMerge w:val="continue"/>
            <w:noWrap w:val="0"/>
            <w:vAlign w:val="center"/>
          </w:tcPr>
          <w:p>
            <w:pPr>
              <w:adjustRightInd w:val="0"/>
              <w:snapToGrid w:val="0"/>
              <w:jc w:val="center"/>
              <w:rPr>
                <w:rFonts w:hint="default" w:ascii="Times New Roman" w:hAnsi="Times New Roman" w:cs="Times New Roman"/>
                <w:color w:val="auto"/>
              </w:rPr>
            </w:pPr>
          </w:p>
        </w:tc>
        <w:tc>
          <w:tcPr>
            <w:tcW w:w="1298" w:type="dxa"/>
            <w:vMerge w:val="continue"/>
            <w:noWrap w:val="0"/>
            <w:vAlign w:val="center"/>
          </w:tcPr>
          <w:p>
            <w:pPr>
              <w:adjustRightInd w:val="0"/>
              <w:snapToGrid w:val="0"/>
              <w:jc w:val="center"/>
              <w:rPr>
                <w:rFonts w:hint="default" w:ascii="Times New Roman" w:hAnsi="Times New Roman" w:cs="Times New Roman"/>
                <w:color w:val="auto"/>
              </w:rPr>
            </w:pPr>
          </w:p>
        </w:tc>
        <w:tc>
          <w:tcPr>
            <w:tcW w:w="2015" w:type="dxa"/>
            <w:vMerge w:val="continue"/>
            <w:noWrap w:val="0"/>
            <w:vAlign w:val="center"/>
          </w:tcPr>
          <w:p>
            <w:pPr>
              <w:adjustRightInd w:val="0"/>
              <w:snapToGrid w:val="0"/>
              <w:jc w:val="center"/>
              <w:rPr>
                <w:rFonts w:hint="default" w:ascii="Times New Roman" w:hAnsi="Times New Roman" w:cs="Times New Roman"/>
                <w:color w:val="auto"/>
              </w:rPr>
            </w:pPr>
          </w:p>
        </w:tc>
        <w:tc>
          <w:tcPr>
            <w:tcW w:w="991" w:type="dxa"/>
            <w:vMerge w:val="continue"/>
            <w:noWrap w:val="0"/>
            <w:vAlign w:val="center"/>
          </w:tcPr>
          <w:p>
            <w:pPr>
              <w:adjustRightInd w:val="0"/>
              <w:snapToGrid w:val="0"/>
              <w:jc w:val="center"/>
              <w:rPr>
                <w:rFonts w:hint="default" w:ascii="Times New Roman" w:hAnsi="Times New Roman" w:cs="Times New Roman"/>
                <w:color w:val="auto"/>
              </w:rPr>
            </w:pPr>
          </w:p>
        </w:tc>
        <w:tc>
          <w:tcPr>
            <w:tcW w:w="974" w:type="dxa"/>
            <w:vMerge w:val="continue"/>
            <w:noWrap w:val="0"/>
            <w:vAlign w:val="center"/>
          </w:tcPr>
          <w:p>
            <w:pPr>
              <w:adjustRightInd w:val="0"/>
              <w:snapToGrid w:val="0"/>
              <w:jc w:val="center"/>
              <w:rPr>
                <w:rFonts w:hint="default" w:ascii="Times New Roman" w:hAnsi="Times New Roman" w:cs="Times New Roman"/>
                <w:color w:val="auto"/>
              </w:rPr>
            </w:pPr>
          </w:p>
        </w:tc>
        <w:tc>
          <w:tcPr>
            <w:tcW w:w="1045" w:type="dxa"/>
            <w:vMerge w:val="continue"/>
            <w:noWrap w:val="0"/>
            <w:vAlign w:val="center"/>
          </w:tcPr>
          <w:p>
            <w:pPr>
              <w:adjustRightInd w:val="0"/>
              <w:snapToGrid w:val="0"/>
              <w:jc w:val="center"/>
              <w:rPr>
                <w:rFonts w:hint="default" w:ascii="Times New Roman" w:hAnsi="Times New Roman" w:cs="Times New Roman"/>
                <w:color w:val="auto"/>
              </w:rPr>
            </w:pPr>
          </w:p>
        </w:tc>
        <w:tc>
          <w:tcPr>
            <w:tcW w:w="1074" w:type="dxa"/>
            <w:vMerge w:val="continue"/>
            <w:noWrap w:val="0"/>
            <w:vAlign w:val="center"/>
          </w:tcPr>
          <w:p>
            <w:pPr>
              <w:adjustRightInd w:val="0"/>
              <w:snapToGrid w:val="0"/>
              <w:jc w:val="center"/>
              <w:rPr>
                <w:rFonts w:hint="default" w:ascii="Times New Roman" w:hAnsi="Times New Roman" w:cs="Times New Roman"/>
                <w:color w:val="auto"/>
              </w:rPr>
            </w:pPr>
          </w:p>
        </w:tc>
        <w:tc>
          <w:tcPr>
            <w:tcW w:w="149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采用方法</w:t>
            </w:r>
          </w:p>
        </w:tc>
        <w:tc>
          <w:tcPr>
            <w:tcW w:w="237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结果</w:t>
            </w:r>
          </w:p>
        </w:tc>
        <w:tc>
          <w:tcPr>
            <w:tcW w:w="2116" w:type="dxa"/>
            <w:vMerge w:val="continue"/>
            <w:noWrap w:val="0"/>
            <w:vAlign w:val="center"/>
          </w:tcPr>
          <w:p>
            <w:pPr>
              <w:adjustRightInd w:val="0"/>
              <w:snapToGrid w:val="0"/>
              <w:jc w:val="center"/>
              <w:rPr>
                <w:rFonts w:hint="default" w:ascii="Times New Roman" w:hAnsi="Times New Roman" w:cs="Times New Roman"/>
                <w:color w:val="auto"/>
              </w:rPr>
            </w:pPr>
          </w:p>
        </w:tc>
      </w:tr>
      <w:tr>
        <w:trPr>
          <w:trHeight w:val="816" w:hRule="atLeast"/>
        </w:trPr>
        <w:tc>
          <w:tcPr>
            <w:tcW w:w="77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9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单位氧化铝产品取水量</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1.5</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3.0</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2.0</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16" w:hRule="atLeast"/>
        </w:trPr>
        <w:tc>
          <w:tcPr>
            <w:tcW w:w="77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9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16" w:hRule="atLeast"/>
        </w:trPr>
        <w:tc>
          <w:tcPr>
            <w:tcW w:w="77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98"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98</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16" w:hRule="atLeast"/>
        </w:trPr>
        <w:tc>
          <w:tcPr>
            <w:tcW w:w="77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9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eastAsia" w:ascii="Times New Roman" w:hAnsi="Times New Roman" w:eastAsia="PingFang SC" w:cs="Times New Roman"/>
                <w:color w:val="auto"/>
                <w:sz w:val="24"/>
                <w:szCs w:val="24"/>
                <w:lang w:val="en-US" w:eastAsia="zh-CN"/>
              </w:rPr>
            </w:pPr>
            <w:r>
              <w:rPr>
                <w:rFonts w:hint="eastAsia" w:ascii="PingFang SC" w:hAnsi="PingFang SC" w:eastAsia="PingFang SC" w:cs="PingFang SC"/>
                <w:color w:val="auto"/>
                <w:sz w:val="24"/>
                <w:szCs w:val="24"/>
              </w:rPr>
              <w:t>≤</w:t>
            </w:r>
            <w:r>
              <w:rPr>
                <w:rFonts w:hint="eastAsia" w:ascii="Times New Roman" w:hAnsi="Times New Roman" w:eastAsia="仿宋_GB2312" w:cs="Times New Roman"/>
                <w:color w:val="auto"/>
                <w:sz w:val="24"/>
                <w:szCs w:val="24"/>
                <w:lang w:val="en-US" w:eastAsia="zh-CN"/>
              </w:rPr>
              <w:t>1</w:t>
            </w:r>
          </w:p>
        </w:tc>
        <w:tc>
          <w:tcPr>
            <w:tcW w:w="1045" w:type="dxa"/>
            <w:noWrap w:val="0"/>
            <w:vAlign w:val="center"/>
          </w:tcPr>
          <w:p>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ascii="PingFang SC" w:hAnsi="PingFang SC" w:eastAsia="PingFang SC" w:cs="PingFang SC"/>
                <w:color w:val="auto"/>
                <w:sz w:val="24"/>
                <w:szCs w:val="24"/>
              </w:rPr>
              <w:t>≤</w:t>
            </w:r>
            <w:r>
              <w:rPr>
                <w:rFonts w:hint="eastAsia" w:cs="Times New Roman"/>
                <w:color w:val="auto"/>
                <w:sz w:val="24"/>
                <w:szCs w:val="24"/>
                <w:lang w:val="en-US" w:eastAsia="zh-CN"/>
              </w:rPr>
              <w:t>1</w:t>
            </w:r>
          </w:p>
        </w:tc>
        <w:tc>
          <w:tcPr>
            <w:tcW w:w="1074" w:type="dxa"/>
            <w:noWrap w:val="0"/>
            <w:vAlign w:val="center"/>
          </w:tcPr>
          <w:p>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ascii="PingFang SC" w:hAnsi="PingFang SC" w:eastAsia="PingFang SC" w:cs="PingFang SC"/>
                <w:color w:val="auto"/>
                <w:sz w:val="24"/>
                <w:szCs w:val="24"/>
              </w:rPr>
              <w:t>≤</w:t>
            </w:r>
            <w:r>
              <w:rPr>
                <w:rFonts w:hint="eastAsia" w:cs="Times New Roman"/>
                <w:color w:val="auto"/>
                <w:sz w:val="24"/>
                <w:szCs w:val="24"/>
                <w:lang w:val="en-US" w:eastAsia="zh-CN"/>
              </w:rPr>
              <w:t>1</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16" w:hRule="atLeast"/>
        </w:trPr>
        <w:tc>
          <w:tcPr>
            <w:tcW w:w="12047" w:type="dxa"/>
            <w:gridSpan w:val="9"/>
            <w:noWrap w:val="0"/>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33232-2016《节水型企业  氧化铝行业》。</w:t>
            </w:r>
          </w:p>
        </w:tc>
        <w:tc>
          <w:tcPr>
            <w:tcW w:w="2116" w:type="dxa"/>
            <w:noWrap w:val="0"/>
            <w:vAlign w:val="center"/>
          </w:tcPr>
          <w:p>
            <w:pPr>
              <w:adjustRightInd w:val="0"/>
              <w:snapToGrid w:val="0"/>
              <w:rPr>
                <w:rFonts w:hint="default" w:ascii="Times New Roman" w:hAnsi="Times New Roman" w:eastAsia="仿宋_GB2312" w:cs="Times New Roman"/>
                <w:color w:val="auto"/>
                <w:szCs w:val="21"/>
              </w:rPr>
            </w:pP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14 电解铝行业技术指标自评表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203"/>
        <w:gridCol w:w="2750"/>
        <w:gridCol w:w="1937"/>
        <w:gridCol w:w="3471"/>
      </w:tblGrid>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20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7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193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47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850" w:hRule="atLeast"/>
        </w:trPr>
        <w:tc>
          <w:tcPr>
            <w:tcW w:w="1236"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6"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5"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单位电解铝取水量</w:t>
            </w:r>
          </w:p>
        </w:tc>
        <w:tc>
          <w:tcPr>
            <w:tcW w:w="120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2750"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电解原铝液</w:t>
            </w:r>
            <w:r>
              <w:rPr>
                <w:rFonts w:hint="eastAsia" w:ascii="PingFang SC" w:hAnsi="PingFang SC" w:eastAsia="PingFang SC" w:cs="PingFang SC"/>
                <w:color w:val="auto"/>
                <w:sz w:val="24"/>
                <w:szCs w:val="24"/>
              </w:rPr>
              <w:t>≤</w:t>
            </w:r>
            <w:r>
              <w:rPr>
                <w:rFonts w:hint="eastAsia" w:cs="Times New Roman"/>
                <w:color w:val="auto"/>
                <w:sz w:val="24"/>
                <w:szCs w:val="24"/>
                <w:lang w:val="en-US" w:eastAsia="zh-CN"/>
              </w:rPr>
              <w:t>0.8</w:t>
            </w:r>
          </w:p>
        </w:tc>
        <w:tc>
          <w:tcPr>
            <w:tcW w:w="193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236"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36"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35" w:type="dxa"/>
            <w:vMerge w:val="continue"/>
            <w:noWrap w:val="0"/>
            <w:vAlign w:val="center"/>
          </w:tcPr>
          <w:p>
            <w:pPr>
              <w:adjustRightInd w:val="0"/>
              <w:snapToGrid w:val="0"/>
              <w:rPr>
                <w:rFonts w:hint="default" w:ascii="Times New Roman" w:hAnsi="Times New Roman" w:eastAsia="仿宋_GB2312" w:cs="Times New Roman"/>
                <w:color w:val="auto"/>
                <w:sz w:val="24"/>
                <w:szCs w:val="24"/>
              </w:rPr>
            </w:pPr>
          </w:p>
        </w:tc>
        <w:tc>
          <w:tcPr>
            <w:tcW w:w="120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750" w:type="dxa"/>
            <w:noWrap w:val="0"/>
            <w:vAlign w:val="center"/>
          </w:tcPr>
          <w:p>
            <w:pPr>
              <w:adjustRightInd w:val="0"/>
              <w:snapToGrid w:val="0"/>
              <w:jc w:val="center"/>
              <w:rPr>
                <w:rFonts w:hint="default" w:ascii="Times New Roman" w:hAnsi="Times New Roman" w:eastAsia="PingFang SC" w:cs="Times New Roman"/>
                <w:color w:val="auto"/>
                <w:sz w:val="24"/>
                <w:szCs w:val="24"/>
                <w:lang w:val="en-US" w:eastAsia="zh-CN"/>
              </w:rPr>
            </w:pPr>
            <w:r>
              <w:rPr>
                <w:rFonts w:hint="eastAsia" w:cs="Times New Roman"/>
                <w:color w:val="auto"/>
                <w:sz w:val="24"/>
                <w:szCs w:val="24"/>
                <w:lang w:val="en-US" w:eastAsia="zh-CN"/>
              </w:rPr>
              <w:t>重溶用铝锭</w:t>
            </w:r>
            <w:r>
              <w:rPr>
                <w:rFonts w:hint="eastAsia" w:ascii="PingFang SC" w:hAnsi="PingFang SC" w:eastAsia="PingFang SC" w:cs="PingFang SC"/>
                <w:color w:val="auto"/>
                <w:sz w:val="24"/>
                <w:szCs w:val="24"/>
              </w:rPr>
              <w:t>≤</w:t>
            </w:r>
            <w:r>
              <w:rPr>
                <w:rFonts w:hint="eastAsia" w:cs="Times New Roman"/>
                <w:color w:val="auto"/>
                <w:sz w:val="24"/>
                <w:szCs w:val="24"/>
                <w:lang w:val="en-US" w:eastAsia="zh-CN"/>
              </w:rPr>
              <w:t>1.1</w:t>
            </w:r>
          </w:p>
        </w:tc>
        <w:tc>
          <w:tcPr>
            <w:tcW w:w="193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236"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36"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35" w:type="dxa"/>
            <w:vMerge w:val="continue"/>
            <w:noWrap w:val="0"/>
            <w:vAlign w:val="center"/>
          </w:tcPr>
          <w:p>
            <w:pPr>
              <w:adjustRightInd w:val="0"/>
              <w:snapToGrid w:val="0"/>
              <w:rPr>
                <w:rFonts w:hint="default" w:ascii="Times New Roman" w:hAnsi="Times New Roman" w:eastAsia="仿宋_GB2312" w:cs="Times New Roman"/>
                <w:color w:val="auto"/>
                <w:sz w:val="24"/>
                <w:szCs w:val="24"/>
              </w:rPr>
            </w:pPr>
          </w:p>
        </w:tc>
        <w:tc>
          <w:tcPr>
            <w:tcW w:w="120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750" w:type="dxa"/>
            <w:noWrap w:val="0"/>
            <w:vAlign w:val="center"/>
          </w:tcPr>
          <w:p>
            <w:pPr>
              <w:adjustRightInd w:val="0"/>
              <w:snapToGrid w:val="0"/>
              <w:jc w:val="center"/>
              <w:rPr>
                <w:rFonts w:hint="default" w:ascii="Times New Roman" w:hAnsi="Times New Roman" w:eastAsia="PingFang SC" w:cs="Times New Roman"/>
                <w:color w:val="auto"/>
                <w:sz w:val="24"/>
                <w:szCs w:val="24"/>
                <w:lang w:val="en-US" w:eastAsia="zh-CN"/>
              </w:rPr>
            </w:pPr>
            <w:r>
              <w:rPr>
                <w:rFonts w:hint="eastAsia" w:cs="Times New Roman"/>
                <w:color w:val="auto"/>
                <w:sz w:val="24"/>
                <w:szCs w:val="24"/>
                <w:lang w:val="en-US" w:eastAsia="zh-CN"/>
              </w:rPr>
              <w:t>电解烟气深度净化</w:t>
            </w:r>
            <w:r>
              <w:rPr>
                <w:rFonts w:hint="eastAsia" w:ascii="PingFang SC" w:hAnsi="PingFang SC" w:eastAsia="PingFang SC" w:cs="PingFang SC"/>
                <w:color w:val="auto"/>
                <w:sz w:val="24"/>
                <w:szCs w:val="24"/>
              </w:rPr>
              <w:t>≤</w:t>
            </w:r>
            <w:r>
              <w:rPr>
                <w:rFonts w:hint="eastAsia" w:cs="Times New Roman"/>
                <w:color w:val="auto"/>
                <w:sz w:val="24"/>
                <w:szCs w:val="24"/>
                <w:lang w:val="en-US" w:eastAsia="zh-CN"/>
              </w:rPr>
              <w:t>2.0</w:t>
            </w:r>
          </w:p>
        </w:tc>
        <w:tc>
          <w:tcPr>
            <w:tcW w:w="193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20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50" w:type="dxa"/>
            <w:noWrap w:val="0"/>
            <w:vAlign w:val="center"/>
          </w:tcPr>
          <w:p>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9</w:t>
            </w:r>
            <w:r>
              <w:rPr>
                <w:rFonts w:hint="eastAsia" w:cs="Times New Roman"/>
                <w:color w:val="auto"/>
                <w:sz w:val="24"/>
                <w:szCs w:val="24"/>
                <w:lang w:val="en-US" w:eastAsia="zh-CN"/>
              </w:rPr>
              <w:t>6</w:t>
            </w:r>
          </w:p>
        </w:tc>
        <w:tc>
          <w:tcPr>
            <w:tcW w:w="193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20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50" w:type="dxa"/>
            <w:noWrap w:val="0"/>
            <w:vAlign w:val="center"/>
          </w:tcPr>
          <w:p>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ascii="PingFang SC" w:hAnsi="PingFang SC" w:eastAsia="PingFang SC" w:cs="PingFang SC"/>
                <w:color w:val="auto"/>
                <w:sz w:val="24"/>
                <w:szCs w:val="24"/>
              </w:rPr>
              <w:t>≤</w:t>
            </w:r>
            <w:r>
              <w:rPr>
                <w:rFonts w:hint="eastAsia" w:cs="Times New Roman"/>
                <w:color w:val="auto"/>
                <w:sz w:val="24"/>
                <w:szCs w:val="24"/>
                <w:lang w:val="en-US" w:eastAsia="zh-CN"/>
              </w:rPr>
              <w:t>6</w:t>
            </w:r>
          </w:p>
        </w:tc>
        <w:tc>
          <w:tcPr>
            <w:tcW w:w="193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4168"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33233-2016《节水型企业  电解铝行业》。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 xml:space="preserve"> 船舶</w:t>
      </w:r>
      <w:r>
        <w:rPr>
          <w:rFonts w:hint="default" w:ascii="Times New Roman" w:hAnsi="Times New Roman" w:eastAsia="仿宋_GB2312" w:cs="Times New Roman"/>
          <w:bCs/>
          <w:color w:val="auto"/>
          <w:sz w:val="32"/>
          <w:szCs w:val="32"/>
          <w:lang w:eastAsia="zh-CN"/>
        </w:rPr>
        <w:t>制造</w:t>
      </w:r>
      <w:r>
        <w:rPr>
          <w:rFonts w:hint="default" w:ascii="Times New Roman" w:hAnsi="Times New Roman" w:eastAsia="仿宋_GB2312" w:cs="Times New Roman"/>
          <w:bCs/>
          <w:color w:val="auto"/>
          <w:sz w:val="32"/>
          <w:szCs w:val="32"/>
        </w:rPr>
        <w:t>行业技术指标自评表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内容</w:t>
            </w:r>
          </w:p>
        </w:tc>
        <w:tc>
          <w:tcPr>
            <w:tcW w:w="307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42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28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2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6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金属船舶单位修正总吨取水量</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 xml:space="preserve"> 3.0</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 xml:space="preserve"> 75</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eastAsia" w:ascii="PingFang SC" w:hAnsi="PingFang SC" w:eastAsia="PingFang SC" w:cs="PingFang SC"/>
                <w:color w:val="auto"/>
                <w:sz w:val="24"/>
                <w:szCs w:val="24"/>
              </w:rPr>
              <w:t>≤</w:t>
            </w:r>
            <w:r>
              <w:rPr>
                <w:rFonts w:hint="default" w:ascii="Times New Roman" w:hAnsi="Times New Roman" w:eastAsia="仿宋_GB2312" w:cs="Times New Roman"/>
                <w:color w:val="auto"/>
                <w:sz w:val="24"/>
                <w:szCs w:val="24"/>
              </w:rPr>
              <w:t>2.0</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rPr>
          <w:trHeight w:val="850" w:hRule="atLeast"/>
        </w:trPr>
        <w:tc>
          <w:tcPr>
            <w:tcW w:w="14168"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37332-2019《节水型企业  船舶行业》。</w:t>
            </w:r>
          </w:p>
        </w:tc>
      </w:tr>
    </w:tbl>
    <w:p>
      <w:pPr>
        <w:pStyle w:val="3"/>
        <w:ind w:left="0" w:leftChars="0" w:firstLine="0" w:firstLineChars="0"/>
        <w:rPr>
          <w:rFonts w:hint="default" w:ascii="Times New Roman" w:hAnsi="Times New Roman" w:cs="Times New Roman"/>
          <w:color w:val="auto"/>
          <w:lang w:val="en-US" w:eastAsia="zh-CN"/>
        </w:rPr>
      </w:pPr>
    </w:p>
    <w:p>
      <w:pPr>
        <w:pStyle w:val="3"/>
        <w:ind w:left="0" w:leftChars="0" w:firstLine="0" w:firstLineChars="0"/>
        <w:rPr>
          <w:rFonts w:hint="default" w:ascii="Times New Roman" w:hAnsi="Times New Roman" w:cs="Times New Roman"/>
          <w:color w:val="auto"/>
        </w:rPr>
      </w:pPr>
    </w:p>
    <w:p>
      <w:pPr>
        <w:pStyle w:val="2"/>
        <w:rPr>
          <w:rFonts w:hint="eastAsia"/>
        </w:rPr>
      </w:pPr>
    </w:p>
    <w:p/>
    <w:sectPr>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DD2257"/>
    <w:rsid w:val="BADD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Body Text First Indent 2"/>
    <w:basedOn w:val="4"/>
    <w:next w:val="1"/>
    <w:qFormat/>
    <w:uiPriority w:val="0"/>
    <w:pPr>
      <w:ind w:firstLine="420" w:firstLineChars="200"/>
    </w:pPr>
  </w:style>
  <w:style w:type="paragraph" w:styleId="4">
    <w:name w:val="Body Text Indent"/>
    <w:basedOn w:val="1"/>
    <w:uiPriority w:val="0"/>
    <w:pPr>
      <w:ind w:firstLine="640" w:firstLineChars="200"/>
    </w:pPr>
    <w:rPr>
      <w:szCs w:val="24"/>
    </w:rPr>
  </w:style>
  <w:style w:type="paragraph" w:styleId="5">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2025-04-14T09:27:00Z</dcterms:created>
  <dc:creator>梦想成真</dc:creator>
  <cp:lastModifiedBy>梦想成真</cp:lastModifiedBy>
  <dcterms:modified xsi:type="dcterms:W3CDTF">2025-04-14T09:27:47Z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C92B22D2C83196916B64FC67738CA63A_41</vt:lpwstr>
  </property>
</Properties>
</file>