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SimHei" w:hAnsi="SimHei" w:eastAsia="SimHei" w:cs="SimHei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FZXiaoBiaoSong-B05" w:hAnsi="FZXiaoBiaoSong-B05" w:cs="FZXiaoBiaoSong-B05"/>
        </w:rPr>
      </w:pPr>
      <w:r>
        <w:rPr>
          <w:rFonts w:hint="eastAsia" w:ascii="FZXiaoBiaoSong-B05" w:hAnsi="FZXiaoBiaoSong-B05" w:cs="FZXiaoBiaoSong-B05"/>
        </w:rPr>
        <w:t>济南市促进电竞</w:t>
      </w:r>
      <w:r>
        <w:rPr>
          <w:rFonts w:hint="eastAsia" w:ascii="FZXiaoBiaoSong-B05" w:hAnsi="FZXiaoBiaoSong-B05" w:cs="FZXiaoBiaoSong-B05"/>
          <w:lang w:val="en-US" w:eastAsia="zh-CN"/>
        </w:rPr>
        <w:t>游戏</w:t>
      </w:r>
      <w:r>
        <w:rPr>
          <w:rFonts w:hint="eastAsia" w:ascii="FZXiaoBiaoSong-B05" w:hAnsi="FZXiaoBiaoSong-B05" w:cs="FZXiaoBiaoSong-B05"/>
        </w:rPr>
        <w:t>产业发展若干政策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KaiTi_GB2312" w:hAnsi="KaiTi_GB2312" w:eastAsia="KaiTi_GB2312" w:cs="KaiTi_GB2312"/>
          <w:sz w:val="32"/>
          <w:szCs w:val="32"/>
          <w:lang w:eastAsia="zh-CN"/>
        </w:rPr>
      </w:pPr>
      <w:r>
        <w:rPr>
          <w:rFonts w:hint="eastAsia" w:ascii="KaiTi_GB2312" w:hAnsi="KaiTi_GB2312" w:eastAsia="KaiTi_GB2312" w:cs="KaiTi_GB2312"/>
          <w:sz w:val="32"/>
          <w:szCs w:val="32"/>
          <w:lang w:eastAsia="zh-CN"/>
        </w:rPr>
        <w:t>（</w:t>
      </w:r>
      <w:r>
        <w:rPr>
          <w:rFonts w:hint="eastAsia" w:ascii="KaiTi_GB2312" w:hAnsi="KaiTi_GB2312" w:eastAsia="KaiTi_GB2312" w:cs="KaiTi_GB2312"/>
          <w:sz w:val="32"/>
          <w:szCs w:val="32"/>
          <w:lang w:val="en-US" w:eastAsia="zh-CN"/>
        </w:rPr>
        <w:t>征求意见稿</w:t>
      </w:r>
      <w:r>
        <w:rPr>
          <w:rFonts w:hint="eastAsia" w:ascii="KaiTi_GB2312" w:hAnsi="KaiTi_GB2312" w:eastAsia="KaiTi_GB2312" w:cs="KaiTi_GB2312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KaiTi_GB2312" w:hAnsi="KaiTi_GB2312" w:eastAsia="KaiTi_GB2312" w:cs="KaiTi_GB2312"/>
          <w:sz w:val="32"/>
          <w:szCs w:val="32"/>
          <w:lang w:eastAsia="zh-CN"/>
        </w:rPr>
      </w:pPr>
    </w:p>
    <w:p>
      <w:pPr>
        <w:keepNext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cs="Times New Roman"/>
          <w:sz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为推动济南市电竞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产业快速健康发展，培育数字经济新业态，持续增强我市经济发展的活力，助力打造智能经济强市和数字先锋城市，结合我市实际，制定如下政策措施。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  <w:lang w:val="en-US" w:eastAsia="zh-CN"/>
        </w:rPr>
        <w:t>一</w:t>
      </w:r>
      <w:r>
        <w:rPr>
          <w:rFonts w:hint="eastAsia" w:ascii="Times New Roman" w:hAnsi="Times New Roman" w:cs="Times New Roman"/>
          <w:sz w:val="32"/>
        </w:rPr>
        <w:t>、完善发展载体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1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.建设多层次电竞场馆。加快建设符合国际性赛事标准的大型电竞赛事专业场馆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eastAsia="zh-CN"/>
        </w:rPr>
        <w:t>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支持有条件的区县和企业投资建设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  <w:t>中型专业化电竞场馆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eastAsia="zh-CN"/>
        </w:rPr>
        <w:t>。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  <w:t>鼓励利用现有体育场馆、剧院、网吧、国企闲置厂房等场馆、闲置空间改扩建中小型电竞场馆，充分满足中小型或民间电竞赛事需求。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（责任单位：市体育局、市文化和旅游局、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市住房城乡建设局、市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自然资源和规划局、各区县）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ascii="KaiTi_GB2312" w:hAnsi="Times New Roman" w:eastAsia="KaiTi_GB2312" w:cs="Calibri"/>
          <w:color w:val="000000"/>
          <w:kern w:val="44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2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.建设高水平电竞产业集聚区。规划建设电竞研发、赛事运营、电竞直播、培训、衍生品开发等产业要素集聚的电竞主题产业园区（基地）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eastAsia="zh-CN"/>
        </w:rPr>
        <w:t>，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鼓励符合条件的电竞产业园区申报小型微型企业创业创新示范基地，按照相关政策给予支持。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支持电竞产业集聚区申报省级、市级特色产业集群，对获评省级、市级特色产业集群荣誉的集群企业在项目申报、平台创建、认定评选、政策扶持方面给予重点支持。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（责任单位：市体育局、市文化和旅游局、市工业和信息化局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各区县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）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</w:pPr>
      <w:r>
        <w:rPr>
          <w:rFonts w:ascii="FangSong_GB2312" w:hAnsi="FangSong_GB2312" w:eastAsia="FangSong_GB2312" w:cs="FangSong_GB2312"/>
          <w:color w:val="000000"/>
          <w:sz w:val="32"/>
          <w:szCs w:val="36"/>
        </w:rPr>
        <w:t>3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.鼓励建设电竞训练基地。积极争取国家电竞队训练基地落户济南，为训练提供优质保障。支持校企共建电竞人才实训基地，开展赛事解说、电竞裁判、经纪管理、组织运营、转播制作等专业技能和行业规范培训，对于获评省级、市级电竞实训基地的，按照相关政策给予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资金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补助。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（责任单位：市体育局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市人力资源社会保障局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市工业和信息化局）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二、加强企业引培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KaiTi_GB2312" w:hAnsi="Times New Roman" w:eastAsia="KaiTi_GB2312" w:cs="Calibri"/>
          <w:color w:val="000000"/>
          <w:kern w:val="44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4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.加强电竞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企业引进。依托济南市软件名城优势，积极争取国内外优秀电竞游戏制作公司、赛事运营公司、直播平台公司、短视频公司、研发机构、工作室等行业领军企业、相关机构落户济南，在济南设立总部的，按照《济南市加快总部经济发展的若干措施》，在办公用房、成长激励、扩大投资、人才保障等方面给予支持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（责任单位：市文化和旅游局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市工业和信息化局、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市投资促进局、市发展改革委）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5</w:t>
      </w:r>
      <w:r>
        <w:rPr>
          <w:rFonts w:ascii="FangSong_GB2312" w:hAnsi="FangSong_GB2312" w:eastAsia="FangSong_GB2312" w:cs="FangSong_GB2312"/>
          <w:color w:val="000000"/>
          <w:sz w:val="32"/>
          <w:szCs w:val="36"/>
        </w:rPr>
        <w:t>.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强化电竞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企业培育。支持电竞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企业加快壮大，将电竞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企业培育纳入全市工业和信息化领域优质企业梯度培育体系，加快培育一批电竞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领域</w:t>
      </w:r>
      <w:r>
        <w:rPr>
          <w:rFonts w:ascii="FangSong_GB2312" w:eastAsia="FangSong_GB2312"/>
          <w:sz w:val="32"/>
        </w:rPr>
        <w:t>创新型中小企业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、专精特新、瞪羚、独角兽等优质企业，对于符合相关标准的企业按规定给予支持。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（责任单位：市文化和旅游局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市体育局、市工业和信息化局）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三、鼓励创作研发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FangSong_GB2312" w:hAnsi="FangSong_GB2312" w:eastAsia="FangSong_GB2312" w:cs="FangSong_GB2312"/>
          <w:color w:val="000000"/>
          <w:sz w:val="32"/>
          <w:szCs w:val="36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6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.支持电竞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内容创作生产。鼓励企业加强电竞游戏内容和技术创新，重点研发符合市场需求和行业发展趋势的移动端、主机端电竞产品，鼓励研发彰显齐鲁特色、泉城韵味的地方特色游戏产品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eastAsia="zh-CN"/>
        </w:rPr>
        <w:t>，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打造弘扬社会主义核心价值观、代表先进文化发展方向、传播文明理念的原创精品力作。对上线满一年并具有较大影响力的济南企业原创电竞游戏产品，按照首版次软件政策，按照该产品销售后1年内销售合同累计到账额的</w:t>
      </w:r>
      <w:r>
        <w:rPr>
          <w:rFonts w:ascii="FangSong_GB2312" w:hAnsi="FangSong_GB2312" w:eastAsia="FangSong_GB2312" w:cs="FangSong_GB2312"/>
          <w:color w:val="000000"/>
          <w:sz w:val="32"/>
          <w:szCs w:val="36"/>
        </w:rPr>
        <w:t>30%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给予资助，最高资助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2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00万元。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（责任单位：市文化和旅游局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市工业和信息化局）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highlight w:val="none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highlight w:val="none"/>
          <w:lang w:val="en-US" w:eastAsia="zh-CN"/>
        </w:rPr>
        <w:t>7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highlight w:val="none"/>
        </w:rPr>
        <w:t>.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支持建设产业发展创新平台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highlight w:val="none"/>
        </w:rPr>
        <w:t>。支持国内外电竞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highlight w:val="none"/>
          <w:lang w:val="en-US" w:eastAsia="zh-CN"/>
        </w:rPr>
        <w:t>及相关产业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highlight w:val="none"/>
        </w:rPr>
        <w:t>研发机构落户济南，增强整体研发和原创实力，促进精品电竞游戏创作生产。支持电竞企业申报一企一技术中心、软件工程技术中心、企业技术中心等各类研发平台，对获批企业给予最高5</w:t>
      </w:r>
      <w:r>
        <w:rPr>
          <w:rFonts w:ascii="FangSong_GB2312" w:hAnsi="FangSong_GB2312" w:eastAsia="FangSong_GB2312" w:cs="FangSong_GB2312"/>
          <w:color w:val="000000"/>
          <w:sz w:val="32"/>
          <w:szCs w:val="36"/>
          <w:highlight w:val="none"/>
        </w:rPr>
        <w:t>00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highlight w:val="none"/>
        </w:rPr>
        <w:t>万元扶持。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鼓励科技企业孵化器和众创空间孵化培育电竞产品研发、俱乐部、经纪服务、战队等类型的企业或团队，对符合条件的科技企业孵化器，按照“科创济南”政策给予扶持。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highlight w:val="none"/>
        </w:rPr>
        <w:t>（责任单位：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市文化和旅游局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highlight w:val="none"/>
        </w:rPr>
        <w:t>市发展改革委、市科技局、市工业和信息化局）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Times New Roman" w:hAnsi="Times New Roman" w:eastAsia="SimHei" w:cs="Times New Roman"/>
          <w:sz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lang w:val="en-US" w:eastAsia="zh-CN"/>
        </w:rPr>
        <w:t>四、</w:t>
      </w:r>
      <w:r>
        <w:rPr>
          <w:rFonts w:hint="eastAsia" w:ascii="Times New Roman" w:hAnsi="Times New Roman" w:cs="Times New Roman"/>
          <w:sz w:val="32"/>
        </w:rPr>
        <w:t>支持赛事</w:t>
      </w:r>
      <w:r>
        <w:rPr>
          <w:rFonts w:hint="eastAsia" w:ascii="Times New Roman" w:hAnsi="Times New Roman" w:cs="Times New Roman"/>
          <w:sz w:val="32"/>
          <w:lang w:val="en-US" w:eastAsia="zh-CN"/>
        </w:rPr>
        <w:t>活动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KaiTi_GB2312" w:hAnsi="Times New Roman" w:eastAsia="KaiTi_GB2312" w:cs="Calibri"/>
          <w:color w:val="000000"/>
          <w:kern w:val="44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8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.积极引进高水平品牌赛事。加强与国内外电竞行业协会组织、电竞游戏领军企业对接，支持国际、国内高水平电竞赛事在济南举办，对承办赛事的市场主体，按照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赛事层级、规模和实际支出，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给予分档补助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  <w:t>每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  <w:lang w:val="en-US" w:eastAsia="zh-CN"/>
        </w:rPr>
        <w:t>场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  <w:t>补助金额最高不超过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  <w:lang w:val="en-US" w:eastAsia="zh-CN"/>
        </w:rPr>
        <w:t>800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  <w:t>万元。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（责任单位：市体育局、市工业和信息化局）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9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.加快培育自主品牌赛事。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  <w:t>支持举办中小型电竞赛事和全民赛、表演赛、日常赛以及校园绿色电竞赛事，积极培育有特色、有影响力的济南自主品牌电竞赛事，构建济南自主IP品牌赛事体系。对在济南举办的发展前景好、市场价值大、有较大影响力的本土IP电竞品牌赛事，按照实际支出（除奖金外）的30%给予一次性经费补助，每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  <w:lang w:val="en-US" w:eastAsia="zh-CN"/>
        </w:rPr>
        <w:t>场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  <w:t>补助金额最高不超过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  <w:lang w:val="en-US" w:eastAsia="zh-CN"/>
        </w:rPr>
        <w:t>20</w:t>
      </w:r>
      <w:r>
        <w:rPr>
          <w:rFonts w:ascii="Times New Roman" w:hAnsi="Times New Roman" w:eastAsia="FangSong_GB2312" w:cs="Times New Roman"/>
          <w:color w:val="000000"/>
          <w:sz w:val="32"/>
          <w:szCs w:val="36"/>
        </w:rPr>
        <w:t>0</w:t>
      </w:r>
      <w:r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  <w:t>万元。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（责任单位：市体育局、市工业和信息化局）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default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10.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举办电竞游戏周边系列活动。支持企业和机构举办电竞游戏论坛、供需对接会等产业活动，加强产业对接，促进电竞游戏产业发展。对在济南举办的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电竞嘉年华展、电竞文创设计展、电竞主播赛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动漫游戏展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等会展活动，按照《济南市促进会展业高质量发展的若干措施》给予奖补。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（责任单位：市文化和旅游局、市体育局、市商务局）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五、推动融合发展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ascii="KaiTi_GB2312" w:hAnsi="Times New Roman" w:eastAsia="KaiTi_GB2312" w:cs="Calibri"/>
          <w:color w:val="000000"/>
          <w:kern w:val="44"/>
          <w:sz w:val="32"/>
          <w:szCs w:val="32"/>
        </w:rPr>
      </w:pPr>
      <w:r>
        <w:rPr>
          <w:rFonts w:ascii="FangSong_GB2312" w:hAnsi="FangSong_GB2312" w:eastAsia="FangSong_GB2312" w:cs="FangSong_GB2312"/>
          <w:color w:val="000000"/>
          <w:sz w:val="32"/>
          <w:szCs w:val="36"/>
        </w:rPr>
        <w:t>1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1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.推动电竞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游戏及周边产业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融合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发展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。建设一批“电竞+文创”“电竞+会展”“电竞+旅游”等典型应用场景，促进电竞与各产业领域融合发展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eastAsia="zh-CN"/>
        </w:rPr>
        <w:t>，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支持在公园、街区、园区、景区等公共空间融入电竞元素，打造一批在全国范围内具有较高影响力的高品质、重体验、地标性电竞特色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场所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支持相关企业运用人工智能、虚拟现实、裸眼3D等新一代数字技术，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提升电竞内容制作及传播能力，带动电竞直播、经纪、资讯、培训、装备等周边产业发展。用好现有电视频道资源，支持主流媒体平台参与赛事内容制作及传播。遴选一批高价值的电竞产业示范项目，对获得市级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新一代信息技术与制造业融合发展示范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项目的给予资金奖励。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（责任单位：市文化和旅游局、市体育局</w:t>
      </w:r>
      <w:bookmarkStart w:id="0" w:name="_GoBack"/>
      <w:bookmarkEnd w:id="0"/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、市工业和信息化局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济南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广播电视台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市商务局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市园林和林业绿化局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六、强化人才支撑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ascii="FangSong_GB2312" w:hAnsi="FangSong_GB2312" w:eastAsia="FangSong_GB2312" w:cs="FangSong_GB2312"/>
          <w:color w:val="000000"/>
          <w:sz w:val="32"/>
          <w:szCs w:val="36"/>
        </w:rPr>
      </w:pPr>
      <w:r>
        <w:rPr>
          <w:rFonts w:ascii="FangSong_GB2312" w:hAnsi="FangSong_GB2312" w:eastAsia="FangSong_GB2312" w:cs="FangSong_GB2312"/>
          <w:color w:val="000000"/>
          <w:sz w:val="32"/>
          <w:szCs w:val="36"/>
        </w:rPr>
        <w:t>1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2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.加强人才培育和引进。支持电竞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专业人才培养，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鼓励高校、职业院校通过校企合作等方式开设电竞游戏类专业，建立后备人才培养体系，培养多层次电竞游戏产业相关人才。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面向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游戏设计、游戏开发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、电子竞技运动员、赛事运营、赛事解说、电竞裁判、经纪管理、转播制作等领域，建立济南市电竞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人才库，制定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电子竞技人才评定办法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，支持电竞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相关人才申报“海右名士”专业技术拔尖人才、市级领军人才，</w:t>
      </w:r>
      <w:r>
        <w:rPr>
          <w:rFonts w:ascii="FangSong_GB2312" w:hAnsi="FangSong_GB2312" w:eastAsia="FangSong_GB2312" w:cs="FangSong_GB2312"/>
          <w:color w:val="000000"/>
          <w:sz w:val="32"/>
          <w:szCs w:val="36"/>
        </w:rPr>
        <w:t>对符合条件的电竞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ascii="FangSong_GB2312" w:hAnsi="FangSong_GB2312" w:eastAsia="FangSong_GB2312" w:cs="FangSong_GB2312"/>
          <w:color w:val="000000"/>
          <w:sz w:val="32"/>
          <w:szCs w:val="36"/>
        </w:rPr>
        <w:t>人才，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按照《济南市人才服务支持政策（30条）》《济南市人才发展环境政策（30条）》给予支持。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市教育局、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市人力资源社会保障局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市文化和旅游局、市体育局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eastAsia="zh-CN"/>
        </w:rPr>
        <w:t>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市工业和信息化局）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七、营造良好环境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ascii="FangSong_GB2312" w:hAnsi="FangSong_GB2312" w:eastAsia="FangSong_GB2312" w:cs="FangSong_GB2312"/>
          <w:color w:val="000000"/>
          <w:sz w:val="32"/>
          <w:szCs w:val="36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1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3</w:t>
      </w:r>
      <w:r>
        <w:rPr>
          <w:rFonts w:ascii="FangSong_GB2312" w:hAnsi="FangSong_GB2312" w:eastAsia="FangSong_GB2312" w:cs="FangSong_GB2312"/>
          <w:color w:val="000000"/>
          <w:sz w:val="32"/>
          <w:szCs w:val="36"/>
        </w:rPr>
        <w:t>.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强化组织保障。建立市工业和信息化局牵头，多部门参与的电竞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游戏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产业发展联席会议机制，强化市区联动、部门协同，形成合力，加强政策扶持、优化资源配置、完善空间布局、加强企业培育和人才引育，抓好政策落地实施。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（</w:t>
      </w:r>
      <w:r>
        <w:rPr>
          <w:rFonts w:hint="default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各有关部门按职责分工负责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）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ascii="FangSong_GB2312" w:hAnsi="FangSong_GB2312" w:eastAsia="FangSong_GB2312" w:cs="FangSong_GB2312"/>
          <w:color w:val="000000"/>
          <w:sz w:val="32"/>
          <w:szCs w:val="36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1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  <w:lang w:val="en-US" w:eastAsia="zh-CN"/>
        </w:rPr>
        <w:t>4</w:t>
      </w:r>
      <w:r>
        <w:rPr>
          <w:rFonts w:ascii="FangSong_GB2312" w:hAnsi="FangSong_GB2312" w:eastAsia="FangSong_GB2312" w:cs="FangSong_GB2312"/>
          <w:color w:val="000000"/>
          <w:sz w:val="32"/>
          <w:szCs w:val="36"/>
        </w:rPr>
        <w:t>.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6"/>
        </w:rPr>
        <w:t>优化市场环境。本着鼓励创新的原则，对电竞产业实行包容审慎监管方式，在严守安全底线的前提下为新业态发展留足空间。加强社会舆论引导，全面推进游戏防沉迷，保护青少年身心健康，树立积极向上的行业形象。加大游戏版权保护力度，严厉打击黑灰产业。依法查处不正当竞争行为，维护公平竞争市场秩序。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（责任单位：市文化和旅游局、市体育局、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  <w:lang w:val="en-US" w:eastAsia="zh-CN"/>
        </w:rPr>
        <w:t>市教育局、</w:t>
      </w:r>
      <w:r>
        <w:rPr>
          <w:rFonts w:hint="eastAsia" w:ascii="KaiTi_GB2312" w:hAnsi="Times New Roman" w:eastAsia="KaiTi_GB2312" w:cs="Calibri"/>
          <w:color w:val="000000"/>
          <w:kern w:val="44"/>
          <w:sz w:val="32"/>
          <w:szCs w:val="32"/>
        </w:rPr>
        <w:t>市市场监管局）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FangSong_GB2312" w:cs="Times New Roman"/>
          <w:color w:val="000000"/>
          <w:sz w:val="32"/>
          <w:szCs w:val="36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5C551C-5FAB-45FB-81C4-2072B50024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6AD98A7B-3C82-4C7E-8783-580B28BF753B}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DBA6E3C-BB6C-4926-86E5-9B6E89DCE33A}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F0F32B3-560A-456C-82FE-E8566854D470}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B0A7B49-1E0C-4CAA-965F-FD03CE07B5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FangSong_GB2312" w:hAnsi="FangSong_GB2312" w:eastAsia="FangSong_GB2312" w:cs="FangSong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N2U2ZTJlODQ4NjA3NmViYWExNzQxNmE3M2RkNWUifQ=="/>
  </w:docVars>
  <w:rsids>
    <w:rsidRoot w:val="00000000"/>
    <w:rsid w:val="000B63BD"/>
    <w:rsid w:val="00BA1A55"/>
    <w:rsid w:val="00C85F20"/>
    <w:rsid w:val="02924A37"/>
    <w:rsid w:val="034540A1"/>
    <w:rsid w:val="06583454"/>
    <w:rsid w:val="07E23FFF"/>
    <w:rsid w:val="08247C25"/>
    <w:rsid w:val="08891F1A"/>
    <w:rsid w:val="0EB01236"/>
    <w:rsid w:val="0F684C70"/>
    <w:rsid w:val="10176D4E"/>
    <w:rsid w:val="11AC0CD4"/>
    <w:rsid w:val="12307DC9"/>
    <w:rsid w:val="12966BB1"/>
    <w:rsid w:val="13FB17DB"/>
    <w:rsid w:val="1448339A"/>
    <w:rsid w:val="1468384A"/>
    <w:rsid w:val="17670F1E"/>
    <w:rsid w:val="193E73E4"/>
    <w:rsid w:val="198205A9"/>
    <w:rsid w:val="19F63EC1"/>
    <w:rsid w:val="1B255756"/>
    <w:rsid w:val="1B261D69"/>
    <w:rsid w:val="1D3161EC"/>
    <w:rsid w:val="1E0535B9"/>
    <w:rsid w:val="1EC17522"/>
    <w:rsid w:val="22054D46"/>
    <w:rsid w:val="226F752C"/>
    <w:rsid w:val="22C162D4"/>
    <w:rsid w:val="238C6E29"/>
    <w:rsid w:val="23FF6434"/>
    <w:rsid w:val="25756AF1"/>
    <w:rsid w:val="272D6317"/>
    <w:rsid w:val="27FF1062"/>
    <w:rsid w:val="284C2831"/>
    <w:rsid w:val="291B4CEE"/>
    <w:rsid w:val="29E73DCC"/>
    <w:rsid w:val="2A030512"/>
    <w:rsid w:val="2B14361E"/>
    <w:rsid w:val="2B7B43B3"/>
    <w:rsid w:val="2BE407E4"/>
    <w:rsid w:val="2C2B2A0E"/>
    <w:rsid w:val="2CE42198"/>
    <w:rsid w:val="30E65DCB"/>
    <w:rsid w:val="3124574A"/>
    <w:rsid w:val="35B6136F"/>
    <w:rsid w:val="361E4190"/>
    <w:rsid w:val="384A4E91"/>
    <w:rsid w:val="386C4187"/>
    <w:rsid w:val="3C81470F"/>
    <w:rsid w:val="3D2D5510"/>
    <w:rsid w:val="3DAD0E6D"/>
    <w:rsid w:val="3E0B50C2"/>
    <w:rsid w:val="3EDB1D11"/>
    <w:rsid w:val="419F644D"/>
    <w:rsid w:val="420F4A55"/>
    <w:rsid w:val="43D30F5E"/>
    <w:rsid w:val="45142DB0"/>
    <w:rsid w:val="47E551D2"/>
    <w:rsid w:val="482163FD"/>
    <w:rsid w:val="4B705C1E"/>
    <w:rsid w:val="4C114EBE"/>
    <w:rsid w:val="4D600B41"/>
    <w:rsid w:val="500F69FC"/>
    <w:rsid w:val="527F38CD"/>
    <w:rsid w:val="5386726D"/>
    <w:rsid w:val="538B6152"/>
    <w:rsid w:val="55E24503"/>
    <w:rsid w:val="561C59EB"/>
    <w:rsid w:val="56366D64"/>
    <w:rsid w:val="56576C9F"/>
    <w:rsid w:val="56FA587C"/>
    <w:rsid w:val="579017B6"/>
    <w:rsid w:val="59345172"/>
    <w:rsid w:val="598F04FE"/>
    <w:rsid w:val="5A1A371D"/>
    <w:rsid w:val="5A217462"/>
    <w:rsid w:val="5BFA0A5B"/>
    <w:rsid w:val="5D4127B0"/>
    <w:rsid w:val="5D4F660E"/>
    <w:rsid w:val="5D83037A"/>
    <w:rsid w:val="5DFA41B0"/>
    <w:rsid w:val="5FAF7C60"/>
    <w:rsid w:val="65AD4A5B"/>
    <w:rsid w:val="66624779"/>
    <w:rsid w:val="66CC7615"/>
    <w:rsid w:val="6790033C"/>
    <w:rsid w:val="69A04061"/>
    <w:rsid w:val="6A837C0B"/>
    <w:rsid w:val="6B1709CA"/>
    <w:rsid w:val="6BC900B2"/>
    <w:rsid w:val="6BD032DB"/>
    <w:rsid w:val="6C9E577A"/>
    <w:rsid w:val="6F1E6154"/>
    <w:rsid w:val="71990F57"/>
    <w:rsid w:val="72C54B39"/>
    <w:rsid w:val="758E5426"/>
    <w:rsid w:val="76402E54"/>
    <w:rsid w:val="7666592F"/>
    <w:rsid w:val="780E7A71"/>
    <w:rsid w:val="78A005D1"/>
    <w:rsid w:val="7A5F276B"/>
    <w:rsid w:val="7B203254"/>
    <w:rsid w:val="7B537186"/>
    <w:rsid w:val="7B6D1C23"/>
    <w:rsid w:val="7C355C76"/>
    <w:rsid w:val="7DEC38C1"/>
    <w:rsid w:val="7DFB58B2"/>
    <w:rsid w:val="7EC5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ind w:firstLine="200" w:firstLineChars="200"/>
      <w:outlineLvl w:val="0"/>
    </w:pPr>
    <w:rPr>
      <w:rFonts w:eastAsia="SimHei"/>
      <w:bCs/>
      <w:kern w:val="44"/>
      <w:szCs w:val="4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ind w:left="120"/>
    </w:pPr>
    <w:rPr>
      <w:sz w:val="32"/>
      <w:szCs w:val="32"/>
    </w:rPr>
  </w:style>
  <w:style w:type="paragraph" w:styleId="4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autoRedefine/>
    <w:qFormat/>
    <w:uiPriority w:val="10"/>
    <w:pPr>
      <w:jc w:val="center"/>
      <w:outlineLvl w:val="0"/>
    </w:pPr>
    <w:rPr>
      <w:rFonts w:ascii="DengXian Light" w:hAnsi="DengXian Light" w:eastAsia="FZXiaoBiaoSong-B05"/>
      <w:bCs/>
      <w:sz w:val="44"/>
      <w:szCs w:val="32"/>
    </w:rPr>
  </w:style>
  <w:style w:type="paragraph" w:styleId="8">
    <w:name w:val="Body Text First Indent 2"/>
    <w:basedOn w:val="4"/>
    <w:autoRedefine/>
    <w:unhideWhenUsed/>
    <w:qFormat/>
    <w:uiPriority w:val="99"/>
    <w:pPr>
      <w:ind w:left="0" w:leftChars="0" w:firstLine="420"/>
    </w:p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claudia</cp:lastModifiedBy>
  <cp:lastPrinted>2024-01-24T08:26:00Z</cp:lastPrinted>
  <dcterms:modified xsi:type="dcterms:W3CDTF">2024-01-31T08:37:41Z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A3DB8484D45444AC995E5C7D23376CFC_13</vt:lpwstr>
  </property>
</Properties>
</file>