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附件</w:t>
      </w:r>
      <w:r>
        <w:rPr>
          <w:rFonts w:hint="eastAsia" w:ascii="黑体" w:hAnsi="黑体" w:eastAsia="黑体" w:cs="黑体"/>
          <w:color w:val="000000" w:themeColor="text1"/>
          <w:kern w:val="0"/>
          <w:sz w:val="32"/>
          <w:szCs w:val="32"/>
          <w:lang w:val="en-US" w:eastAsia="zh-CN"/>
          <w14:textFill>
            <w14:solidFill>
              <w14:schemeClr w14:val="tx1"/>
            </w14:solidFill>
          </w14:textFill>
        </w:rPr>
        <w:t>1</w:t>
      </w:r>
    </w:p>
    <w:p>
      <w:pPr>
        <w:keepNext w:val="0"/>
        <w:keepLines w:val="0"/>
        <w:pageBreakBefore w:val="0"/>
        <w:widowControl/>
        <w:kinsoku/>
        <w:wordWrap/>
        <w:overflowPunct/>
        <w:topLinePunct w:val="0"/>
        <w:autoSpaceDE/>
        <w:autoSpaceDN/>
        <w:bidi w:val="0"/>
        <w:adjustRightInd/>
        <w:snapToGrid/>
        <w:spacing w:line="600" w:lineRule="exact"/>
        <w:ind w:left="0" w:leftChars="0" w:firstLine="480"/>
        <w:jc w:val="center"/>
        <w:textAlignment w:val="auto"/>
        <w:rPr>
          <w:rFonts w:hint="eastAsia" w:cs="宋体" w:asciiTheme="minorEastAsia" w:hAnsiTheme="minorEastAsia"/>
          <w:color w:val="000000" w:themeColor="text1"/>
          <w:kern w:val="0"/>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ind w:left="0" w:leftChars="0" w:firstLine="480"/>
        <w:jc w:val="center"/>
        <w:textAlignment w:val="auto"/>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山东省制造业创新中心验收报告提纲</w:t>
      </w:r>
    </w:p>
    <w:p>
      <w:pPr>
        <w:keepNext w:val="0"/>
        <w:keepLines w:val="0"/>
        <w:pageBreakBefore w:val="0"/>
        <w:numPr>
          <w:ilvl w:val="0"/>
          <w:numId w:val="0"/>
        </w:numPr>
        <w:tabs>
          <w:tab w:val="left" w:pos="6426"/>
        </w:tabs>
        <w:kinsoku/>
        <w:wordWrap/>
        <w:overflowPunct/>
        <w:topLinePunct w:val="0"/>
        <w:autoSpaceDE/>
        <w:autoSpaceDN/>
        <w:bidi w:val="0"/>
        <w:adjustRightInd/>
        <w:snapToGrid/>
        <w:spacing w:line="600" w:lineRule="exact"/>
        <w:ind w:left="0" w:leftChars="0"/>
        <w:textAlignment w:val="auto"/>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ab/>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color w:val="000000" w:themeColor="text1"/>
          <w:kern w:val="0"/>
          <w:sz w:val="32"/>
          <w:szCs w:val="32"/>
          <w:lang w:val="zh-CN"/>
          <w14:textFill>
            <w14:solidFill>
              <w14:schemeClr w14:val="tx1"/>
            </w14:solidFill>
          </w14:textFill>
        </w:rPr>
      </w:pPr>
      <w:r>
        <w:rPr>
          <w:rFonts w:hint="eastAsia" w:ascii="黑体" w:hAnsi="黑体" w:eastAsia="黑体" w:cs="黑体"/>
          <w:color w:val="000000" w:themeColor="text1"/>
          <w:kern w:val="0"/>
          <w:sz w:val="32"/>
          <w:szCs w:val="32"/>
          <w:lang w:val="zh-CN"/>
          <w14:textFill>
            <w14:solidFill>
              <w14:schemeClr w14:val="tx1"/>
            </w14:solidFill>
          </w14:textFill>
        </w:rPr>
        <w:t>一、创新中心工作情况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32"/>
          <w:szCs w:val="32"/>
          <w14:textFill>
            <w14:solidFill>
              <w14:schemeClr w14:val="tx1"/>
            </w14:solidFill>
          </w14:textFill>
        </w:rPr>
        <w:t>组织架构。中心建立“公司+联盟”的基本运行模式，独立法人股东中应包括5家</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及</w:t>
      </w:r>
      <w:r>
        <w:rPr>
          <w:rFonts w:hint="default" w:ascii="Times New Roman" w:hAnsi="Times New Roman" w:eastAsia="仿宋_GB2312" w:cs="Times New Roman"/>
          <w:color w:val="000000" w:themeColor="text1"/>
          <w:kern w:val="0"/>
          <w:sz w:val="32"/>
          <w:szCs w:val="32"/>
          <w14:textFill>
            <w14:solidFill>
              <w14:schemeClr w14:val="tx1"/>
            </w14:solidFill>
          </w14:textFill>
        </w:rPr>
        <w:t>以上</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在产业链具有</w:t>
      </w:r>
      <w:r>
        <w:rPr>
          <w:rFonts w:hint="default" w:ascii="Times New Roman" w:hAnsi="Times New Roman" w:eastAsia="仿宋_GB2312" w:cs="Times New Roman"/>
          <w:color w:val="000000" w:themeColor="text1"/>
          <w:kern w:val="0"/>
          <w:sz w:val="32"/>
          <w:szCs w:val="32"/>
          <w14:textFill>
            <w14:solidFill>
              <w14:schemeClr w14:val="tx1"/>
            </w14:solidFill>
          </w14:textFill>
        </w:rPr>
        <w:t>较强竞争力的骨干企业，注册资金不低于1000万元，验收时资金到位率不低于30%。创新中心的联盟应汇聚产学研用各类创新主体，并至少有20家本领域的省级及以上企业技术中心、重点实验室、工程实验室、工程技术中心、工程研究中心等创新平台。</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kern w:val="0"/>
          <w:sz w:val="32"/>
          <w:szCs w:val="32"/>
          <w14:textFill>
            <w14:solidFill>
              <w14:schemeClr w14:val="tx1"/>
            </w14:solidFill>
          </w14:textFill>
        </w:rPr>
        <w:t>健全机制并有效运行</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情况</w:t>
      </w:r>
      <w:r>
        <w:rPr>
          <w:rFonts w:hint="default" w:ascii="Times New Roman" w:hAnsi="Times New Roman" w:eastAsia="仿宋_GB2312" w:cs="Times New Roman"/>
          <w:color w:val="000000" w:themeColor="text1"/>
          <w:kern w:val="0"/>
          <w:sz w:val="32"/>
          <w:szCs w:val="32"/>
          <w14:textFill>
            <w14:solidFill>
              <w14:schemeClr w14:val="tx1"/>
            </w14:solidFill>
          </w14:textFill>
        </w:rPr>
        <w:t>。中心核心公司有责权</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明晰</w:t>
      </w:r>
      <w:r>
        <w:rPr>
          <w:rFonts w:hint="default" w:ascii="Times New Roman" w:hAnsi="Times New Roman" w:eastAsia="仿宋_GB2312" w:cs="Times New Roman"/>
          <w:color w:val="000000" w:themeColor="text1"/>
          <w:kern w:val="0"/>
          <w:sz w:val="32"/>
          <w:szCs w:val="32"/>
          <w14:textFill>
            <w14:solidFill>
              <w14:schemeClr w14:val="tx1"/>
            </w14:solidFill>
          </w14:textFill>
        </w:rPr>
        <w:t>的董事会和经营管理团队，建立现代企业制度，通过内部管理制度建设，明确股东及联盟成员</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责权利</w:t>
      </w:r>
      <w:r>
        <w:rPr>
          <w:rFonts w:hint="default" w:ascii="Times New Roman" w:hAnsi="Times New Roman" w:eastAsia="仿宋_GB2312" w:cs="Times New Roman"/>
          <w:color w:val="000000" w:themeColor="text1"/>
          <w:kern w:val="0"/>
          <w:sz w:val="32"/>
          <w:szCs w:val="32"/>
          <w14:textFill>
            <w14:solidFill>
              <w14:schemeClr w14:val="tx1"/>
            </w14:solidFill>
          </w14:textFill>
        </w:rPr>
        <w:t>，充分发挥各类主体作用，形成产学研用协同的创新机制。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14:textFill>
            <w14:solidFill>
              <w14:schemeClr w14:val="tx1"/>
            </w14:solidFill>
          </w14:textFill>
        </w:rPr>
        <w:t>可持续发展</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状况</w:t>
      </w:r>
      <w:r>
        <w:rPr>
          <w:rFonts w:hint="default" w:ascii="Times New Roman" w:hAnsi="Times New Roman" w:eastAsia="仿宋_GB2312" w:cs="Times New Roman"/>
          <w:color w:val="000000" w:themeColor="text1"/>
          <w:kern w:val="0"/>
          <w:sz w:val="32"/>
          <w:szCs w:val="32"/>
          <w14:textFill>
            <w14:solidFill>
              <w14:schemeClr w14:val="tx1"/>
            </w14:solidFill>
          </w14:textFill>
        </w:rPr>
        <w:t>。中心的股东投资应满足基本运行需要，通过技术成果转化、企业孵化、企业委托研发、检测检验和为行业提供公共服务等方式获得稳定收入。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研发计划及投入情况</w:t>
      </w:r>
      <w:r>
        <w:rPr>
          <w:rFonts w:hint="default" w:ascii="Times New Roman" w:hAnsi="Times New Roman" w:eastAsia="仿宋_GB2312" w:cs="Times New Roman"/>
          <w:color w:val="000000" w:themeColor="text1"/>
          <w:kern w:val="0"/>
          <w:sz w:val="32"/>
          <w:szCs w:val="32"/>
          <w14:textFill>
            <w14:solidFill>
              <w14:schemeClr w14:val="tx1"/>
            </w14:solidFill>
          </w14:textFill>
        </w:rPr>
        <w:t>。中心内设专家委员会负责研判行业发展重大问题并筛选确定研究方向，专家委员会应由行业领军专家担任主任。中心依托公司应有固定的研发队伍，从事研发和相关技术创新活动的科技人员占企业职工总数的比例不低于50%。中心的年度研发费用总额占成本费用支出总额的比例不低于30%。</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14:textFill>
            <w14:solidFill>
              <w14:schemeClr w14:val="tx1"/>
            </w14:solidFill>
          </w14:textFill>
        </w:rPr>
        <w:t>开展关键共性技术研发</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情况及取得成效</w:t>
      </w:r>
      <w:r>
        <w:rPr>
          <w:rFonts w:hint="default" w:ascii="Times New Roman" w:hAnsi="Times New Roman" w:eastAsia="仿宋_GB2312" w:cs="Times New Roman"/>
          <w:color w:val="000000" w:themeColor="text1"/>
          <w:kern w:val="0"/>
          <w:sz w:val="32"/>
          <w:szCs w:val="32"/>
          <w14:textFill>
            <w14:solidFill>
              <w14:schemeClr w14:val="tx1"/>
            </w14:solidFill>
          </w14:textFill>
        </w:rPr>
        <w:t>。制定明确的技术创新规划，组织本领域国内外企业、高校、研究机构共同实施技术攻关，突破制约行业发展的关键共性技术。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kern w:val="0"/>
          <w:sz w:val="32"/>
          <w:szCs w:val="32"/>
          <w14:textFill>
            <w14:solidFill>
              <w14:schemeClr w14:val="tx1"/>
            </w14:solidFill>
          </w14:textFill>
        </w:rPr>
        <w:t>市场化成果转化机制</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建设情况及取得成效</w:t>
      </w:r>
      <w:r>
        <w:rPr>
          <w:rFonts w:hint="default" w:ascii="Times New Roman" w:hAnsi="Times New Roman" w:eastAsia="仿宋_GB2312" w:cs="Times New Roman"/>
          <w:color w:val="000000" w:themeColor="text1"/>
          <w:kern w:val="0"/>
          <w:sz w:val="32"/>
          <w:szCs w:val="32"/>
          <w14:textFill>
            <w14:solidFill>
              <w14:schemeClr w14:val="tx1"/>
            </w14:solidFill>
          </w14:textFill>
        </w:rPr>
        <w:t>。建立知识产权创造、运用、管理制度，拥有科学合理的成果转化机制和专利许可转让制度，</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已</w:t>
      </w:r>
      <w:r>
        <w:rPr>
          <w:rFonts w:hint="default" w:ascii="Times New Roman" w:hAnsi="Times New Roman" w:eastAsia="仿宋_GB2312" w:cs="Times New Roman"/>
          <w:color w:val="000000" w:themeColor="text1"/>
          <w:kern w:val="0"/>
          <w:sz w:val="32"/>
          <w:szCs w:val="32"/>
          <w14:textFill>
            <w14:solidFill>
              <w14:schemeClr w14:val="tx1"/>
            </w14:solidFill>
          </w14:textFill>
        </w:rPr>
        <w:t>实现共性技术的转移扩散或通过技术实现企业孵化。</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kern w:val="0"/>
          <w:sz w:val="32"/>
          <w:szCs w:val="32"/>
          <w14:textFill>
            <w14:solidFill>
              <w14:schemeClr w14:val="tx1"/>
            </w14:solidFill>
          </w14:textFill>
        </w:rPr>
        <w:t>资源开放共享</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情况</w:t>
      </w:r>
      <w:r>
        <w:rPr>
          <w:rFonts w:hint="default" w:ascii="Times New Roman" w:hAnsi="Times New Roman" w:eastAsia="仿宋_GB2312" w:cs="Times New Roman"/>
          <w:color w:val="000000" w:themeColor="text1"/>
          <w:kern w:val="0"/>
          <w:sz w:val="32"/>
          <w:szCs w:val="32"/>
          <w14:textFill>
            <w14:solidFill>
              <w14:schemeClr w14:val="tx1"/>
            </w14:solidFill>
          </w14:textFill>
        </w:rPr>
        <w:t>。创新中心充分发挥现有资源优势，实现与成员单位间的资源开放共享，具备持续提升创新水平的能力。已成为本领域具有一定影响</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力</w:t>
      </w:r>
      <w:r>
        <w:rPr>
          <w:rFonts w:hint="default" w:ascii="Times New Roman" w:hAnsi="Times New Roman" w:eastAsia="仿宋_GB2312" w:cs="Times New Roman"/>
          <w:color w:val="000000" w:themeColor="text1"/>
          <w:kern w:val="0"/>
          <w:sz w:val="32"/>
          <w:szCs w:val="32"/>
          <w14:textFill>
            <w14:solidFill>
              <w14:schemeClr w14:val="tx1"/>
            </w14:solidFill>
          </w14:textFill>
        </w:rPr>
        <w:t>的技术创新平台，</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有</w:t>
      </w:r>
      <w:r>
        <w:rPr>
          <w:rFonts w:hint="default" w:ascii="Times New Roman" w:hAnsi="Times New Roman" w:eastAsia="仿宋_GB2312" w:cs="Times New Roman"/>
          <w:color w:val="000000" w:themeColor="text1"/>
          <w:kern w:val="0"/>
          <w:sz w:val="32"/>
          <w:szCs w:val="32"/>
          <w14:textFill>
            <w14:solidFill>
              <w14:schemeClr w14:val="tx1"/>
            </w14:solidFill>
          </w14:textFill>
        </w:rPr>
        <w:t>与创新中心成员以外的单位开展技术合作的业绩</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kern w:val="0"/>
          <w:sz w:val="32"/>
          <w:szCs w:val="32"/>
          <w14:textFill>
            <w14:solidFill>
              <w14:schemeClr w14:val="tx1"/>
            </w14:solidFill>
          </w14:textFill>
        </w:rPr>
        <w:t>与知名高校、科研机构或企业进行技术交流合作的长效机制并开展实质性工作</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情况</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themeColor="text1"/>
          <w:kern w:val="0"/>
          <w:sz w:val="32"/>
          <w:szCs w:val="32"/>
          <w:lang w:val="zh-CN"/>
          <w14:textFill>
            <w14:solidFill>
              <w14:schemeClr w14:val="tx1"/>
            </w14:solidFill>
          </w14:textFill>
        </w:rPr>
      </w:pPr>
      <w:r>
        <w:rPr>
          <w:rFonts w:hint="eastAsia" w:ascii="黑体" w:hAnsi="黑体" w:eastAsia="黑体" w:cs="黑体"/>
          <w:color w:val="000000" w:themeColor="text1"/>
          <w:kern w:val="0"/>
          <w:sz w:val="32"/>
          <w:szCs w:val="32"/>
          <w:lang w:val="zh-CN"/>
          <w14:textFill>
            <w14:solidFill>
              <w14:schemeClr w14:val="tx1"/>
            </w14:solidFill>
          </w14:textFill>
        </w:rPr>
        <w:t>二、创新中心财务情况</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报告</w:t>
      </w:r>
      <w:r>
        <w:rPr>
          <w:rFonts w:hint="default" w:ascii="Times New Roman" w:hAnsi="Times New Roman" w:eastAsia="仿宋_GB2312" w:cs="Times New Roman"/>
          <w:color w:val="000000" w:themeColor="text1"/>
          <w:sz w:val="32"/>
          <w:szCs w:val="32"/>
          <w14:textFill>
            <w14:solidFill>
              <w14:schemeClr w14:val="tx1"/>
            </w14:solidFill>
          </w14:textFill>
        </w:rPr>
        <w:t>创新中心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培育以来</w:t>
      </w:r>
      <w:r>
        <w:rPr>
          <w:rFonts w:hint="default" w:ascii="Times New Roman" w:hAnsi="Times New Roman" w:eastAsia="仿宋_GB2312" w:cs="Times New Roman"/>
          <w:color w:val="000000" w:themeColor="text1"/>
          <w:sz w:val="32"/>
          <w:szCs w:val="32"/>
          <w14:textFill>
            <w14:solidFill>
              <w14:schemeClr w14:val="tx1"/>
            </w14:solidFill>
          </w14:textFill>
        </w:rPr>
        <w:t>至验收期间发生的财务情况。</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资金到位情况</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财务支出情况</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收入情况</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其他需要说明的情况</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color w:val="000000" w:themeColor="text1"/>
          <w:kern w:val="0"/>
          <w:sz w:val="32"/>
          <w:szCs w:val="32"/>
          <w:lang w:val="zh-CN"/>
          <w14:textFill>
            <w14:solidFill>
              <w14:schemeClr w14:val="tx1"/>
            </w14:solidFill>
          </w14:textFill>
        </w:rPr>
      </w:pPr>
      <w:r>
        <w:rPr>
          <w:rFonts w:hint="eastAsia" w:ascii="黑体" w:hAnsi="黑体" w:eastAsia="黑体" w:cs="黑体"/>
          <w:color w:val="000000" w:themeColor="text1"/>
          <w:sz w:val="32"/>
          <w:szCs w:val="32"/>
          <w:lang w:val="zh-CN" w:eastAsia="zh-CN"/>
          <w14:textFill>
            <w14:solidFill>
              <w14:schemeClr w14:val="tx1"/>
            </w14:solidFill>
          </w14:textFill>
        </w:rPr>
        <w:t>三、创新中心成果</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创新中心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培育以来</w:t>
      </w:r>
      <w:r>
        <w:rPr>
          <w:rFonts w:hint="default" w:ascii="Times New Roman" w:hAnsi="Times New Roman" w:eastAsia="仿宋_GB2312" w:cs="Times New Roman"/>
          <w:color w:val="000000" w:themeColor="text1"/>
          <w:sz w:val="32"/>
          <w:szCs w:val="32"/>
          <w14:textFill>
            <w14:solidFill>
              <w14:schemeClr w14:val="tx1"/>
            </w14:solidFill>
          </w14:textFill>
        </w:rPr>
        <w:t>至验收期间取得的技术、专利、标准、成果、奖励、人才等方面成果。</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黑体" w:hAnsi="黑体" w:eastAsia="黑体" w:cs="黑体"/>
          <w:color w:val="000000" w:themeColor="text1"/>
          <w:sz w:val="32"/>
          <w:szCs w:val="32"/>
          <w:lang w:val="zh-CN" w:eastAsia="zh-CN"/>
          <w14:textFill>
            <w14:solidFill>
              <w14:schemeClr w14:val="tx1"/>
            </w14:solidFill>
          </w14:textFill>
        </w:rPr>
      </w:pPr>
      <w:r>
        <w:rPr>
          <w:rFonts w:hint="eastAsia" w:ascii="黑体" w:hAnsi="黑体" w:eastAsia="黑体" w:cs="黑体"/>
          <w:color w:val="000000" w:themeColor="text1"/>
          <w:sz w:val="32"/>
          <w:szCs w:val="32"/>
          <w:lang w:val="zh-CN" w:eastAsia="zh-CN"/>
          <w14:textFill>
            <w14:solidFill>
              <w14:schemeClr w14:val="tx1"/>
            </w14:solidFill>
          </w14:textFill>
        </w:rPr>
        <w:t>四、</w:t>
      </w:r>
      <w:r>
        <w:rPr>
          <w:rFonts w:hint="default" w:ascii="黑体" w:hAnsi="黑体" w:eastAsia="黑体" w:cs="黑体"/>
          <w:color w:val="000000" w:themeColor="text1"/>
          <w:sz w:val="32"/>
          <w:szCs w:val="32"/>
          <w:lang w:val="zh-CN" w:eastAsia="zh-CN"/>
          <w14:textFill>
            <w14:solidFill>
              <w14:schemeClr w14:val="tx1"/>
            </w14:solidFill>
          </w14:textFill>
        </w:rPr>
        <w:t>相关证明材料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1</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提供</w:t>
      </w:r>
      <w:r>
        <w:rPr>
          <w:rFonts w:hint="default" w:ascii="Times New Roman" w:hAnsi="Times New Roman" w:eastAsia="仿宋_GB2312" w:cs="Times New Roman"/>
          <w:color w:val="000000" w:themeColor="text1"/>
          <w:sz w:val="32"/>
          <w:szCs w:val="32"/>
          <w14:textFill>
            <w14:solidFill>
              <w14:schemeClr w14:val="tx1"/>
            </w14:solidFill>
          </w14:textFill>
        </w:rPr>
        <w:t>公司营业执照、</w:t>
      </w:r>
      <w:r>
        <w:rPr>
          <w:rFonts w:hint="default" w:ascii="Times New Roman" w:hAnsi="Times New Roman" w:eastAsia="仿宋_GB2312" w:cs="Times New Roman"/>
          <w:color w:val="000000" w:themeColor="text1"/>
          <w:kern w:val="0"/>
          <w:sz w:val="32"/>
          <w:szCs w:val="32"/>
          <w14:textFill>
            <w14:solidFill>
              <w14:schemeClr w14:val="tx1"/>
            </w14:solidFill>
          </w14:textFill>
        </w:rPr>
        <w:t>股东及股权、</w:t>
      </w:r>
      <w:r>
        <w:rPr>
          <w:rFonts w:hint="default" w:ascii="Times New Roman" w:hAnsi="Times New Roman" w:eastAsia="仿宋_GB2312" w:cs="Times New Roman"/>
          <w:color w:val="000000" w:themeColor="text1"/>
          <w:sz w:val="32"/>
          <w:szCs w:val="32"/>
          <w14:textFill>
            <w14:solidFill>
              <w14:schemeClr w14:val="tx1"/>
            </w14:solidFill>
          </w14:textFill>
        </w:rPr>
        <w:t>股东注册资金到账凭证、满一个财务年度的还需提供年度财务审计报告（含研发费用）等证明材料复印件；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提供产业技术联盟成立、加入联盟协议书、联盟机构设置和相关制度文件、省级以上研发平台证书等证明材料；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提供创新中心的场地、办公设施</w:t>
      </w:r>
      <w:bookmarkStart w:id="0" w:name="_GoBack"/>
      <w:bookmarkEnd w:id="0"/>
      <w:r>
        <w:rPr>
          <w:rFonts w:hint="default" w:ascii="Times New Roman" w:hAnsi="Times New Roman" w:eastAsia="仿宋_GB2312" w:cs="Times New Roman"/>
          <w:color w:val="000000" w:themeColor="text1"/>
          <w:sz w:val="32"/>
          <w:szCs w:val="32"/>
          <w14:textFill>
            <w14:solidFill>
              <w14:schemeClr w14:val="tx1"/>
            </w14:solidFill>
          </w14:textFill>
        </w:rPr>
        <w:t xml:space="preserve">、仪器设备、固定人员等相关证明材料复印件； </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提供</w:t>
      </w:r>
      <w:r>
        <w:rPr>
          <w:rFonts w:hint="default" w:ascii="Times New Roman" w:hAnsi="Times New Roman" w:eastAsia="仿宋_GB2312" w:cs="Times New Roman"/>
          <w:color w:val="000000" w:themeColor="text1"/>
          <w:kern w:val="0"/>
          <w:sz w:val="32"/>
          <w:szCs w:val="32"/>
          <w14:textFill>
            <w14:solidFill>
              <w14:schemeClr w14:val="tx1"/>
            </w14:solidFill>
          </w14:textFill>
        </w:rPr>
        <w:t>公共服务收入情况证明材料；</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提供成立并良好运行的条件证明，包括：创新中心组建的章程、管理制度、已开展的科研项目、取得的专利、标准、成果、奖励等证明材料复印件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提供成果产业化的经济效益证明材料</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14:textFill>
            <w14:solidFill>
              <w14:schemeClr w14:val="tx1"/>
            </w14:solidFill>
          </w14:textFill>
        </w:rPr>
        <w:t>其他相关证明材料。</w:t>
      </w:r>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44635"/>
    </w:sdtPr>
    <w:sdtContent>
      <w:p>
        <w:pPr>
          <w:pStyle w:val="2"/>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6EF"/>
    <w:rsid w:val="00001DEB"/>
    <w:rsid w:val="00004E01"/>
    <w:rsid w:val="000113DB"/>
    <w:rsid w:val="000136EF"/>
    <w:rsid w:val="00022CE9"/>
    <w:rsid w:val="000266CE"/>
    <w:rsid w:val="00045E93"/>
    <w:rsid w:val="00046475"/>
    <w:rsid w:val="00047450"/>
    <w:rsid w:val="00073742"/>
    <w:rsid w:val="00077235"/>
    <w:rsid w:val="00084C4A"/>
    <w:rsid w:val="000A2D05"/>
    <w:rsid w:val="000A4389"/>
    <w:rsid w:val="000C4D01"/>
    <w:rsid w:val="000D670B"/>
    <w:rsid w:val="000D6871"/>
    <w:rsid w:val="000D72E1"/>
    <w:rsid w:val="0010274F"/>
    <w:rsid w:val="00126543"/>
    <w:rsid w:val="00132486"/>
    <w:rsid w:val="001412FC"/>
    <w:rsid w:val="00155DB1"/>
    <w:rsid w:val="001630FC"/>
    <w:rsid w:val="0017062D"/>
    <w:rsid w:val="001855CF"/>
    <w:rsid w:val="001923C1"/>
    <w:rsid w:val="0019343E"/>
    <w:rsid w:val="00194713"/>
    <w:rsid w:val="001A53D4"/>
    <w:rsid w:val="001D782F"/>
    <w:rsid w:val="0020429F"/>
    <w:rsid w:val="00215B97"/>
    <w:rsid w:val="0022000D"/>
    <w:rsid w:val="00231618"/>
    <w:rsid w:val="00235D24"/>
    <w:rsid w:val="00236414"/>
    <w:rsid w:val="00243FAC"/>
    <w:rsid w:val="0025275F"/>
    <w:rsid w:val="00265C75"/>
    <w:rsid w:val="00270FB1"/>
    <w:rsid w:val="00282C03"/>
    <w:rsid w:val="00297145"/>
    <w:rsid w:val="002A1FB7"/>
    <w:rsid w:val="00312406"/>
    <w:rsid w:val="0035173C"/>
    <w:rsid w:val="0036187B"/>
    <w:rsid w:val="003B15CF"/>
    <w:rsid w:val="003B3A79"/>
    <w:rsid w:val="003B5779"/>
    <w:rsid w:val="003C4688"/>
    <w:rsid w:val="003E0D57"/>
    <w:rsid w:val="003E348D"/>
    <w:rsid w:val="004130C2"/>
    <w:rsid w:val="00444BB6"/>
    <w:rsid w:val="00457C5E"/>
    <w:rsid w:val="00460EA7"/>
    <w:rsid w:val="0046644E"/>
    <w:rsid w:val="00491A02"/>
    <w:rsid w:val="004A1BA2"/>
    <w:rsid w:val="004C7729"/>
    <w:rsid w:val="004D3940"/>
    <w:rsid w:val="00514A42"/>
    <w:rsid w:val="00515DA4"/>
    <w:rsid w:val="005174E6"/>
    <w:rsid w:val="0054605C"/>
    <w:rsid w:val="00573697"/>
    <w:rsid w:val="005747E1"/>
    <w:rsid w:val="00586EB2"/>
    <w:rsid w:val="00586EBF"/>
    <w:rsid w:val="00596D22"/>
    <w:rsid w:val="005A60B0"/>
    <w:rsid w:val="0060493A"/>
    <w:rsid w:val="006053EB"/>
    <w:rsid w:val="006161E3"/>
    <w:rsid w:val="00617A24"/>
    <w:rsid w:val="006224AD"/>
    <w:rsid w:val="006401A6"/>
    <w:rsid w:val="00660925"/>
    <w:rsid w:val="00663B2C"/>
    <w:rsid w:val="00671D39"/>
    <w:rsid w:val="00673797"/>
    <w:rsid w:val="00682A2E"/>
    <w:rsid w:val="006940EC"/>
    <w:rsid w:val="006B11F8"/>
    <w:rsid w:val="006B5B5C"/>
    <w:rsid w:val="006E7474"/>
    <w:rsid w:val="006F433B"/>
    <w:rsid w:val="006F7D59"/>
    <w:rsid w:val="0073459D"/>
    <w:rsid w:val="0076069C"/>
    <w:rsid w:val="007652D3"/>
    <w:rsid w:val="0078017E"/>
    <w:rsid w:val="007D2445"/>
    <w:rsid w:val="007E334A"/>
    <w:rsid w:val="007E77A5"/>
    <w:rsid w:val="007F700E"/>
    <w:rsid w:val="008309F4"/>
    <w:rsid w:val="00845226"/>
    <w:rsid w:val="008519C1"/>
    <w:rsid w:val="00887873"/>
    <w:rsid w:val="0089682E"/>
    <w:rsid w:val="008B0E15"/>
    <w:rsid w:val="008D3E3D"/>
    <w:rsid w:val="008D7F53"/>
    <w:rsid w:val="008F2F90"/>
    <w:rsid w:val="008F53BC"/>
    <w:rsid w:val="00905DC0"/>
    <w:rsid w:val="00986121"/>
    <w:rsid w:val="009A5525"/>
    <w:rsid w:val="009B16DF"/>
    <w:rsid w:val="009B192C"/>
    <w:rsid w:val="009C2025"/>
    <w:rsid w:val="009D493E"/>
    <w:rsid w:val="009E6A9F"/>
    <w:rsid w:val="00A06C9E"/>
    <w:rsid w:val="00A10E31"/>
    <w:rsid w:val="00A249C1"/>
    <w:rsid w:val="00A262C8"/>
    <w:rsid w:val="00A568C8"/>
    <w:rsid w:val="00A6337B"/>
    <w:rsid w:val="00A656EF"/>
    <w:rsid w:val="00AA1B68"/>
    <w:rsid w:val="00AC13FB"/>
    <w:rsid w:val="00AC193E"/>
    <w:rsid w:val="00AC1F0B"/>
    <w:rsid w:val="00AD1AAE"/>
    <w:rsid w:val="00AD495E"/>
    <w:rsid w:val="00B05E14"/>
    <w:rsid w:val="00B25E45"/>
    <w:rsid w:val="00B274AF"/>
    <w:rsid w:val="00B33971"/>
    <w:rsid w:val="00B3660F"/>
    <w:rsid w:val="00B47167"/>
    <w:rsid w:val="00B55024"/>
    <w:rsid w:val="00B61CD1"/>
    <w:rsid w:val="00B76D1B"/>
    <w:rsid w:val="00B85875"/>
    <w:rsid w:val="00B97CCB"/>
    <w:rsid w:val="00BA20A4"/>
    <w:rsid w:val="00BA55DF"/>
    <w:rsid w:val="00BB3A5B"/>
    <w:rsid w:val="00BD2B9A"/>
    <w:rsid w:val="00BD3599"/>
    <w:rsid w:val="00C415D1"/>
    <w:rsid w:val="00C45B5D"/>
    <w:rsid w:val="00C500A9"/>
    <w:rsid w:val="00C52A5F"/>
    <w:rsid w:val="00C6609A"/>
    <w:rsid w:val="00C724F5"/>
    <w:rsid w:val="00C93647"/>
    <w:rsid w:val="00CD5281"/>
    <w:rsid w:val="00CE5358"/>
    <w:rsid w:val="00D61B8E"/>
    <w:rsid w:val="00D6333B"/>
    <w:rsid w:val="00D64368"/>
    <w:rsid w:val="00D81EAC"/>
    <w:rsid w:val="00D81F7A"/>
    <w:rsid w:val="00DA438C"/>
    <w:rsid w:val="00DC6F9A"/>
    <w:rsid w:val="00DE4A39"/>
    <w:rsid w:val="00DF7295"/>
    <w:rsid w:val="00E016EF"/>
    <w:rsid w:val="00E13516"/>
    <w:rsid w:val="00E523B5"/>
    <w:rsid w:val="00E62868"/>
    <w:rsid w:val="00EA6705"/>
    <w:rsid w:val="00EE5CD7"/>
    <w:rsid w:val="00EF55D5"/>
    <w:rsid w:val="00F01918"/>
    <w:rsid w:val="00F14041"/>
    <w:rsid w:val="00F25906"/>
    <w:rsid w:val="00F304B0"/>
    <w:rsid w:val="00F42F71"/>
    <w:rsid w:val="00F47EB2"/>
    <w:rsid w:val="00F54A92"/>
    <w:rsid w:val="00F639E4"/>
    <w:rsid w:val="00F654C5"/>
    <w:rsid w:val="00F67FF0"/>
    <w:rsid w:val="00FA4BE4"/>
    <w:rsid w:val="00FC3A94"/>
    <w:rsid w:val="00FD3A04"/>
    <w:rsid w:val="06096506"/>
    <w:rsid w:val="13B11FB5"/>
    <w:rsid w:val="23B64980"/>
    <w:rsid w:val="246F08AB"/>
    <w:rsid w:val="27AC4938"/>
    <w:rsid w:val="2E9FF5FC"/>
    <w:rsid w:val="34F96048"/>
    <w:rsid w:val="38A91CE1"/>
    <w:rsid w:val="39304526"/>
    <w:rsid w:val="398101BD"/>
    <w:rsid w:val="521A14BD"/>
    <w:rsid w:val="5F7342FD"/>
    <w:rsid w:val="65CB447C"/>
    <w:rsid w:val="6ACD038D"/>
    <w:rsid w:val="6B6F2CF5"/>
    <w:rsid w:val="78F11FDB"/>
    <w:rsid w:val="7AEF6E30"/>
    <w:rsid w:val="A17B752D"/>
    <w:rsid w:val="DDFD6B36"/>
    <w:rsid w:val="FFDE0D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422</Words>
  <Characters>2408</Characters>
  <Lines>20</Lines>
  <Paragraphs>5</Paragraphs>
  <TotalTime>10</TotalTime>
  <ScaleCrop>false</ScaleCrop>
  <LinksUpToDate>false</LinksUpToDate>
  <CharactersWithSpaces>2825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2019-11-05T16:36:00Z</dcterms:created>
  <dc:creator>gyb1</dc:creator>
  <cp:lastModifiedBy>Administrator</cp:lastModifiedBy>
  <cp:lastPrinted>2022-08-03T02:29:21Z</cp:lastPrinted>
  <dcterms:modified xsi:type="dcterms:W3CDTF">2022-08-03T02:44:02Z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90669C1C7AD046C0AF691323899AE9C4</vt:lpwstr>
  </property>
</Properties>
</file>