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7"/>
        <w:rPr>
          <w:rFonts w:ascii="Times New Roman"/>
          <w:sz w:val="28"/>
        </w:rPr>
      </w:pPr>
    </w:p>
    <w:p>
      <w:pPr>
        <w:pStyle w:val="3"/>
        <w:spacing w:before="56"/>
        <w:ind w:left="244"/>
        <w:rPr>
          <w:rFonts w:ascii="黑体"/>
        </w:rPr>
      </w:pPr>
      <w:r>
        <w:rPr>
          <w:rFonts w:ascii="黑体"/>
        </w:rPr>
        <w:t>JNCR-2022-0040002</w:t>
      </w:r>
    </w:p>
    <w:p>
      <w:pPr>
        <w:pStyle w:val="3"/>
        <w:rPr>
          <w:rFonts w:ascii="黑体"/>
        </w:rPr>
      </w:pPr>
    </w:p>
    <w:p>
      <w:pPr>
        <w:pStyle w:val="3"/>
        <w:spacing w:before="8"/>
        <w:rPr>
          <w:rFonts w:ascii="黑体"/>
          <w:sz w:val="24"/>
        </w:rPr>
      </w:pPr>
    </w:p>
    <w:p>
      <w:pPr>
        <w:spacing w:before="1" w:line="156" w:lineRule="auto"/>
        <w:ind w:left="102" w:right="1628" w:firstLine="0"/>
        <w:jc w:val="both"/>
        <w:rPr>
          <w:rFonts w:hint="eastAsia" w:ascii="方正小标宋简体" w:eastAsia="方正小标宋简体"/>
          <w:sz w:val="66"/>
        </w:rPr>
      </w:pPr>
      <w:r>
        <w:pict>
          <v:shape id="_x0000_s1026" o:spid="_x0000_s1026" o:spt="202" type="#_x0000_t202" style="position:absolute;left:0pt;margin-left:449.7pt;margin-top:58.5pt;height:71.5pt;width:78.15pt;mso-position-horizontal-relative:page;z-index:-251656192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spacing w:before="0" w:line="1430" w:lineRule="exact"/>
                    <w:ind w:left="0" w:right="0" w:firstLine="0"/>
                    <w:jc w:val="left"/>
                    <w:rPr>
                      <w:rFonts w:hint="eastAsia" w:ascii="方正小标宋简体" w:eastAsia="方正小标宋简体"/>
                      <w:sz w:val="120"/>
                    </w:rPr>
                  </w:pPr>
                  <w:r>
                    <w:rPr>
                      <w:rFonts w:hint="eastAsia" w:ascii="方正小标宋简体" w:eastAsia="方正小标宋简体"/>
                      <w:color w:val="FF0000"/>
                      <w:w w:val="65"/>
                      <w:sz w:val="120"/>
                    </w:rPr>
                    <w:t>文件</w:t>
                  </w:r>
                </w:p>
              </w:txbxContent>
            </v:textbox>
          </v:shape>
        </w:pict>
      </w:r>
      <w:r>
        <w:rPr>
          <w:rFonts w:hint="eastAsia" w:ascii="方正小标宋简体" w:eastAsia="方正小标宋简体"/>
          <w:color w:val="FF0000"/>
          <w:spacing w:val="29"/>
          <w:w w:val="85"/>
          <w:sz w:val="66"/>
        </w:rPr>
        <w:t>济 南 市 工 业 和 信 息 化 局</w:t>
      </w:r>
      <w:r>
        <w:rPr>
          <w:rFonts w:hint="eastAsia" w:ascii="方正小标宋简体" w:eastAsia="方正小标宋简体"/>
          <w:color w:val="FF0000"/>
          <w:spacing w:val="28"/>
          <w:w w:val="85"/>
          <w:sz w:val="66"/>
        </w:rPr>
        <w:t>济     南     市      财      政     局</w:t>
      </w:r>
      <w:r>
        <w:rPr>
          <w:rFonts w:hint="eastAsia" w:ascii="方正小标宋简体" w:eastAsia="方正小标宋简体"/>
          <w:color w:val="FF0000"/>
          <w:spacing w:val="-38"/>
          <w:w w:val="85"/>
          <w:sz w:val="66"/>
        </w:rPr>
        <w:t>济 南 市 地 方 金 融 监 督 管 理 局</w:t>
      </w:r>
      <w:r>
        <w:rPr>
          <w:rFonts w:hint="eastAsia" w:ascii="方正小标宋简体" w:eastAsia="方正小标宋简体"/>
          <w:color w:val="FF0000"/>
          <w:spacing w:val="4"/>
          <w:w w:val="75"/>
          <w:sz w:val="66"/>
        </w:rPr>
        <w:t>中国人民银行济南分行营业管理部</w:t>
      </w:r>
      <w:r>
        <w:rPr>
          <w:rFonts w:hint="eastAsia" w:ascii="方正小标宋简体" w:eastAsia="方正小标宋简体"/>
          <w:color w:val="FF0000"/>
          <w:spacing w:val="86"/>
          <w:w w:val="75"/>
          <w:sz w:val="66"/>
        </w:rPr>
        <w:t>中国人民银行莱芜市中心支行</w:t>
      </w:r>
    </w:p>
    <w:p>
      <w:pPr>
        <w:pStyle w:val="3"/>
        <w:rPr>
          <w:rFonts w:ascii="方正小标宋简体"/>
          <w:sz w:val="20"/>
        </w:rPr>
      </w:pPr>
    </w:p>
    <w:p>
      <w:pPr>
        <w:pStyle w:val="3"/>
        <w:spacing w:before="13"/>
        <w:rPr>
          <w:rFonts w:ascii="方正小标宋简体"/>
          <w:sz w:val="23"/>
        </w:rPr>
      </w:pPr>
    </w:p>
    <w:p>
      <w:pPr>
        <w:pStyle w:val="3"/>
        <w:spacing w:before="55"/>
        <w:ind w:left="1384" w:right="1404"/>
        <w:jc w:val="center"/>
      </w:pPr>
      <w:r>
        <w:t>济工信服务体系字〔2022〕1 号</w:t>
      </w:r>
    </w:p>
    <w:p>
      <w:pPr>
        <w:pStyle w:val="3"/>
        <w:spacing w:before="9"/>
        <w:rPr>
          <w:sz w:val="16"/>
        </w:rPr>
      </w:pPr>
      <w:r>
        <w:pict>
          <v:line id="_x0000_s1027" o:spid="_x0000_s1027" o:spt="20" style="position:absolute;left:0pt;margin-left:80.8pt;margin-top:13.15pt;height:0pt;width:442.2pt;mso-position-horizontal-relative:page;mso-wrap-distance-bottom:0pt;mso-wrap-distance-top:0pt;z-index:-251655168;mso-width-relative:page;mso-height-relative:page;" stroked="t" coordsize="21600,21600">
            <v:path arrowok="t"/>
            <v:fill focussize="0,0"/>
            <v:stroke weight="1pt" color="#FF0000"/>
            <v:imagedata o:title=""/>
            <o:lock v:ext="edit"/>
            <w10:wrap type="topAndBottom"/>
          </v:line>
        </w:pict>
      </w:r>
    </w:p>
    <w:p>
      <w:pPr>
        <w:pStyle w:val="3"/>
      </w:pPr>
    </w:p>
    <w:p>
      <w:pPr>
        <w:pStyle w:val="3"/>
      </w:pPr>
    </w:p>
    <w:p>
      <w:pPr>
        <w:pStyle w:val="3"/>
        <w:spacing w:before="4"/>
        <w:rPr>
          <w:sz w:val="33"/>
        </w:rPr>
      </w:pPr>
    </w:p>
    <w:p>
      <w:pPr>
        <w:pStyle w:val="2"/>
        <w:spacing w:line="204" w:lineRule="auto"/>
        <w:ind w:left="1384" w:right="1407"/>
        <w:jc w:val="center"/>
      </w:pPr>
      <w:r>
        <w:rPr>
          <w:spacing w:val="-7"/>
        </w:rPr>
        <w:t>关于印发《济南市中小微企业转贷引导基金实施办法》的通知</w:t>
      </w:r>
    </w:p>
    <w:p>
      <w:pPr>
        <w:pStyle w:val="3"/>
        <w:spacing w:before="2"/>
        <w:rPr>
          <w:rFonts w:ascii="方正小标宋简体"/>
          <w:sz w:val="36"/>
        </w:rPr>
      </w:pPr>
    </w:p>
    <w:p>
      <w:pPr>
        <w:pStyle w:val="3"/>
        <w:spacing w:line="338" w:lineRule="auto"/>
        <w:ind w:left="243" w:right="262"/>
      </w:pPr>
      <w:r>
        <w:rPr>
          <w:spacing w:val="-9"/>
        </w:rPr>
        <w:t>各区县工业和信息化局、财政局、地方金融监督管理局、人民银</w:t>
      </w:r>
      <w:r>
        <w:rPr>
          <w:spacing w:val="-7"/>
        </w:rPr>
        <w:t>行各支行、莱芜市支行、各银行：</w:t>
      </w:r>
    </w:p>
    <w:p>
      <w:pPr>
        <w:pStyle w:val="3"/>
        <w:spacing w:before="3" w:line="338" w:lineRule="auto"/>
        <w:ind w:left="243" w:right="255" w:firstLine="627"/>
        <w:jc w:val="both"/>
      </w:pPr>
      <w:r>
        <w:rPr>
          <w:spacing w:val="-1"/>
        </w:rPr>
        <w:t>为健全完善全市应急服务体系，</w:t>
      </w:r>
      <w:r>
        <w:rPr>
          <w:color w:val="323232"/>
          <w:spacing w:val="13"/>
        </w:rPr>
        <w:t>规范运营我市企业应急转</w:t>
      </w:r>
      <w:r>
        <w:rPr>
          <w:color w:val="323232"/>
          <w:spacing w:val="11"/>
        </w:rPr>
        <w:t>贷引导基金</w:t>
      </w:r>
      <w:r>
        <w:rPr>
          <w:spacing w:val="-17"/>
        </w:rPr>
        <w:t>，积极为中小微企业提供应急转贷服务，依据《山东</w:t>
      </w:r>
      <w:r>
        <w:rPr>
          <w:spacing w:val="4"/>
        </w:rPr>
        <w:t>省人民政府关于印发支持实体经济高质量发展的若干政策的通</w:t>
      </w:r>
      <w:r>
        <w:rPr>
          <w:spacing w:val="-85"/>
        </w:rPr>
        <w:t>知》</w:t>
      </w:r>
      <w:r>
        <w:rPr>
          <w:spacing w:val="-6"/>
        </w:rPr>
        <w:t>（鲁政发〔</w:t>
      </w:r>
      <w:r>
        <w:rPr>
          <w:spacing w:val="-5"/>
        </w:rPr>
        <w:t>2018</w:t>
      </w:r>
      <w:r>
        <w:rPr>
          <w:spacing w:val="-6"/>
        </w:rPr>
        <w:t>〕</w:t>
      </w:r>
      <w:r>
        <w:rPr>
          <w:spacing w:val="-3"/>
        </w:rPr>
        <w:t>21</w:t>
      </w:r>
      <w:r>
        <w:rPr>
          <w:spacing w:val="-2"/>
        </w:rPr>
        <w:t xml:space="preserve"> 号</w:t>
      </w:r>
      <w:r>
        <w:rPr>
          <w:spacing w:val="-165"/>
        </w:rPr>
        <w:t>）</w:t>
      </w:r>
      <w:r>
        <w:rPr>
          <w:spacing w:val="-21"/>
        </w:rPr>
        <w:t>、《山东省人民政府关于支持民营经</w:t>
      </w:r>
    </w:p>
    <w:p>
      <w:pPr>
        <w:spacing w:after="0" w:line="338" w:lineRule="auto"/>
        <w:jc w:val="both"/>
        <w:sectPr>
          <w:footerReference r:id="rId5" w:type="default"/>
          <w:footerReference r:id="rId6" w:type="even"/>
          <w:type w:val="continuous"/>
          <w:pgSz w:w="11910" w:h="16840"/>
          <w:pgMar w:top="1600" w:right="1200" w:bottom="1660" w:left="1400" w:header="720" w:footer="1469" w:gutter="0"/>
          <w:pgNumType w:start="1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12"/>
        <w:rPr>
          <w:sz w:val="16"/>
        </w:rPr>
      </w:pPr>
    </w:p>
    <w:p>
      <w:pPr>
        <w:pStyle w:val="3"/>
        <w:spacing w:before="56" w:line="338" w:lineRule="auto"/>
        <w:ind w:left="243" w:right="262"/>
        <w:jc w:val="both"/>
      </w:pPr>
      <w:r>
        <w:rPr>
          <w:spacing w:val="-21"/>
        </w:rPr>
        <w:t>济高质量发展的若干意见》</w:t>
      </w:r>
      <w:r>
        <w:rPr>
          <w:spacing w:val="-8"/>
        </w:rPr>
        <w:t>（</w:t>
      </w:r>
      <w:r>
        <w:rPr>
          <w:spacing w:val="-7"/>
        </w:rPr>
        <w:t>鲁政发〔</w:t>
      </w:r>
      <w:r>
        <w:rPr>
          <w:spacing w:val="-4"/>
        </w:rPr>
        <w:t>2018</w:t>
      </w:r>
      <w:r>
        <w:rPr>
          <w:spacing w:val="-6"/>
        </w:rPr>
        <w:t>〕</w:t>
      </w:r>
      <w:r>
        <w:t>26</w:t>
      </w:r>
      <w:r>
        <w:rPr>
          <w:spacing w:val="-5"/>
        </w:rPr>
        <w:t xml:space="preserve"> 号</w:t>
      </w:r>
      <w:r>
        <w:rPr>
          <w:spacing w:val="-164"/>
        </w:rPr>
        <w:t>）</w:t>
      </w:r>
      <w:r>
        <w:rPr>
          <w:spacing w:val="-34"/>
        </w:rPr>
        <w:t>、《关于建立企业应急转贷基金的指导意见</w:t>
      </w:r>
      <w:r>
        <w:rPr>
          <w:spacing w:val="-211"/>
        </w:rPr>
        <w:t>》</w:t>
      </w:r>
      <w:r>
        <w:rPr>
          <w:spacing w:val="-8"/>
        </w:rPr>
        <w:t>（</w:t>
      </w:r>
      <w:r>
        <w:rPr>
          <w:spacing w:val="-17"/>
        </w:rPr>
        <w:t>鲁金监字〔</w:t>
      </w:r>
      <w:r>
        <w:rPr>
          <w:spacing w:val="-4"/>
        </w:rPr>
        <w:t>2019</w:t>
      </w:r>
      <w:r>
        <w:rPr>
          <w:spacing w:val="-53"/>
        </w:rPr>
        <w:t>〕</w:t>
      </w:r>
      <w:r>
        <w:rPr>
          <w:spacing w:val="-3"/>
        </w:rPr>
        <w:t>15</w:t>
      </w:r>
      <w:r>
        <w:rPr>
          <w:spacing w:val="-42"/>
        </w:rPr>
        <w:t xml:space="preserve"> 号</w:t>
      </w:r>
      <w:r>
        <w:rPr>
          <w:spacing w:val="-53"/>
        </w:rPr>
        <w:t>）</w:t>
      </w:r>
      <w:r>
        <w:rPr>
          <w:spacing w:val="-55"/>
        </w:rPr>
        <w:t>和</w:t>
      </w:r>
      <w:r>
        <w:rPr>
          <w:color w:val="323232"/>
          <w:spacing w:val="-6"/>
        </w:rPr>
        <w:t>《山</w:t>
      </w:r>
      <w:r>
        <w:rPr>
          <w:color w:val="323232"/>
          <w:spacing w:val="-16"/>
        </w:rPr>
        <w:t>东省省级企业应急转贷引导基金管理办法》</w:t>
      </w:r>
      <w:r>
        <w:rPr>
          <w:spacing w:val="-6"/>
        </w:rPr>
        <w:t>（鲁工信发〔</w:t>
      </w:r>
      <w:r>
        <w:rPr>
          <w:spacing w:val="-5"/>
        </w:rPr>
        <w:t>2021</w:t>
      </w:r>
      <w:r>
        <w:rPr>
          <w:spacing w:val="-6"/>
        </w:rPr>
        <w:t xml:space="preserve">〕3 </w:t>
      </w:r>
      <w:r>
        <w:rPr>
          <w:spacing w:val="-7"/>
        </w:rPr>
        <w:t>号）</w:t>
      </w:r>
      <w:r>
        <w:rPr>
          <w:spacing w:val="-9"/>
        </w:rPr>
        <w:t>文件精神，市工信局会同市财政局、市金融办、人行济南分</w:t>
      </w:r>
      <w:r>
        <w:rPr>
          <w:spacing w:val="-3"/>
        </w:rPr>
        <w:t>行、人行莱芜支行，对有效期满的《济南市中小微企业转贷引</w:t>
      </w:r>
      <w:r>
        <w:rPr>
          <w:spacing w:val="-8"/>
        </w:rPr>
        <w:t>导基金实施办法》进行修订。现予印发实施，请遵照执行。</w:t>
      </w:r>
    </w:p>
    <w:p>
      <w:pPr>
        <w:pStyle w:val="3"/>
        <w:spacing w:before="3"/>
        <w:rPr>
          <w:sz w:val="9"/>
        </w:rPr>
      </w:pPr>
      <w:r>
        <w:pict>
          <v:group id="_x0000_s1028" o:spid="_x0000_s1028" o:spt="203" style="position:absolute;left:0pt;margin-left:82.15pt;margin-top:11.55pt;height:122.35pt;width:125.6pt;mso-position-horizontal-relative:page;mso-wrap-distance-bottom:0pt;mso-wrap-distance-top:0pt;z-index:-251654144;mso-width-relative:page;mso-height-relative:page;" coordorigin="1644,232" coordsize="2512,2447">
            <o:lock v:ext="edit"/>
            <v:shape id="_x0000_s1029" o:spid="_x0000_s1029" o:spt="75" type="#_x0000_t75" style="position:absolute;left:1644;top:231;height:2447;width:2512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30" o:spid="_x0000_s1030" o:spt="202" type="#_x0000_t202" style="position:absolute;left:1644;top:231;height:2447;width:251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auto"/>
                      <w:rPr>
                        <w:sz w:val="32"/>
                      </w:rPr>
                    </w:pPr>
                  </w:p>
                  <w:p>
                    <w:pPr>
                      <w:spacing w:before="4" w:line="240" w:lineRule="auto"/>
                      <w:rPr>
                        <w:sz w:val="41"/>
                      </w:rPr>
                    </w:pPr>
                  </w:p>
                  <w:p>
                    <w:pPr>
                      <w:spacing w:before="0" w:line="338" w:lineRule="auto"/>
                      <w:ind w:left="763" w:right="119" w:hanging="315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济南市工业和信息化局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031" o:spid="_x0000_s1031" o:spt="203" style="position:absolute;left:0pt;margin-left:231.35pt;margin-top:7.85pt;height:129.75pt;width:133.75pt;mso-position-horizontal-relative:page;mso-wrap-distance-bottom:0pt;mso-wrap-distance-top:0pt;z-index:-251653120;mso-width-relative:page;mso-height-relative:page;" coordorigin="4627,157" coordsize="2675,2595">
            <o:lock v:ext="edit"/>
            <v:shape id="_x0000_s1032" o:spid="_x0000_s1032" o:spt="75" type="#_x0000_t75" style="position:absolute;left:4627;top:157;height:2595;width:2675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33" o:spid="_x0000_s1033" o:spt="202" type="#_x0000_t202" style="position:absolute;left:4627;top:157;height:2595;width:267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auto"/>
                      <w:rPr>
                        <w:sz w:val="32"/>
                      </w:rPr>
                    </w:pPr>
                  </w:p>
                  <w:p>
                    <w:pPr>
                      <w:spacing w:before="2" w:line="240" w:lineRule="auto"/>
                      <w:rPr>
                        <w:sz w:val="47"/>
                      </w:rPr>
                    </w:pPr>
                  </w:p>
                  <w:p>
                    <w:pPr>
                      <w:spacing w:before="0"/>
                      <w:ind w:left="467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济南市财政局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034" o:spid="_x0000_s1034" o:spt="203" style="position:absolute;left:0pt;margin-left:392.5pt;margin-top:12.8pt;height:117.65pt;width:120.85pt;mso-position-horizontal-relative:page;mso-wrap-distance-bottom:0pt;mso-wrap-distance-top:0pt;z-index:-251652096;mso-width-relative:page;mso-height-relative:page;" coordorigin="7850,257" coordsize="2417,2353">
            <o:lock v:ext="edit"/>
            <v:shape id="_x0000_s1035" o:spid="_x0000_s1035" o:spt="75" type="#_x0000_t75" style="position:absolute;left:7850;top:307;height:2302;width:2384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036" o:spid="_x0000_s1036" o:spt="75" type="#_x0000_t75" style="position:absolute;left:7863;top:256;height:2340;width:2404;" filled="f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v:shape id="_x0000_s1037" o:spid="_x0000_s1037" o:spt="202" type="#_x0000_t202" style="position:absolute;left:7850;top:256;height:2353;width:241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auto"/>
                      <w:rPr>
                        <w:sz w:val="32"/>
                      </w:rPr>
                    </w:pPr>
                  </w:p>
                  <w:p>
                    <w:pPr>
                      <w:spacing w:before="5" w:line="240" w:lineRule="auto"/>
                      <w:rPr>
                        <w:sz w:val="39"/>
                      </w:rPr>
                    </w:pPr>
                  </w:p>
                  <w:p>
                    <w:pPr>
                      <w:spacing w:before="0" w:line="338" w:lineRule="auto"/>
                      <w:ind w:left="404" w:right="65" w:hanging="315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济南市地方金融监督管理局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038" o:spid="_x0000_s1038" o:spt="203" style="position:absolute;left:0pt;margin-left:138.35pt;margin-top:152.75pt;height:143.1pt;width:158.85pt;mso-position-horizontal-relative:page;mso-wrap-distance-bottom:0pt;mso-wrap-distance-top:0pt;z-index:-251651072;mso-width-relative:page;mso-height-relative:page;" coordorigin="2767,3055" coordsize="3177,2862">
            <o:lock v:ext="edit"/>
            <v:shape id="_x0000_s1039" o:spid="_x0000_s1039" o:spt="75" type="#_x0000_t75" style="position:absolute;left:2982;top:3055;height:2862;width:2962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v:shape id="_x0000_s1040" o:spid="_x0000_s1040" o:spt="202" type="#_x0000_t202" style="position:absolute;left:2767;top:3055;height:2862;width:317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auto"/>
                      <w:rPr>
                        <w:sz w:val="32"/>
                      </w:rPr>
                    </w:pPr>
                  </w:p>
                  <w:p>
                    <w:pPr>
                      <w:spacing w:before="4" w:line="240" w:lineRule="auto"/>
                      <w:rPr>
                        <w:sz w:val="47"/>
                      </w:rPr>
                    </w:pPr>
                  </w:p>
                  <w:p>
                    <w:pPr>
                      <w:spacing w:before="0" w:line="338" w:lineRule="auto"/>
                      <w:ind w:left="783" w:right="34" w:hanging="784"/>
                      <w:jc w:val="left"/>
                      <w:rPr>
                        <w:sz w:val="32"/>
                      </w:rPr>
                    </w:pPr>
                    <w:r>
                      <w:rPr>
                        <w:spacing w:val="-9"/>
                        <w:sz w:val="32"/>
                      </w:rPr>
                      <w:t>中国人民银行济南分行</w:t>
                    </w:r>
                    <w:r>
                      <w:rPr>
                        <w:spacing w:val="-6"/>
                        <w:sz w:val="32"/>
                      </w:rPr>
                      <w:t>营业管理部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041" o:spid="_x0000_s1041" o:spt="203" style="position:absolute;left:0pt;margin-left:316.25pt;margin-top:159.35pt;height:124.65pt;width:141.45pt;mso-position-horizontal-relative:page;mso-wrap-distance-bottom:0pt;mso-wrap-distance-top:0pt;z-index:-251650048;mso-width-relative:page;mso-height-relative:page;" coordorigin="6325,3187" coordsize="2829,2493">
            <o:lock v:ext="edit"/>
            <v:shape id="_x0000_s1042" o:spid="_x0000_s1042" o:spt="75" type="#_x0000_t75" style="position:absolute;left:6481;top:3187;height:2493;width:2543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043" o:spid="_x0000_s1043" o:spt="202" type="#_x0000_t202" style="position:absolute;left:6325;top:3187;height:2493;width:282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auto"/>
                      <w:rPr>
                        <w:sz w:val="32"/>
                      </w:rPr>
                    </w:pPr>
                  </w:p>
                  <w:p>
                    <w:pPr>
                      <w:spacing w:before="0" w:line="240" w:lineRule="auto"/>
                      <w:rPr>
                        <w:sz w:val="37"/>
                      </w:rPr>
                    </w:pPr>
                  </w:p>
                  <w:p>
                    <w:pPr>
                      <w:spacing w:before="0" w:line="338" w:lineRule="auto"/>
                      <w:ind w:left="784" w:right="0" w:hanging="785"/>
                      <w:jc w:val="left"/>
                      <w:rPr>
                        <w:sz w:val="32"/>
                      </w:rPr>
                    </w:pPr>
                    <w:r>
                      <w:rPr>
                        <w:spacing w:val="-9"/>
                        <w:sz w:val="32"/>
                      </w:rPr>
                      <w:t>中国人民银行莱芜市</w:t>
                    </w:r>
                    <w:r>
                      <w:rPr>
                        <w:spacing w:val="-6"/>
                        <w:sz w:val="32"/>
                      </w:rPr>
                      <w:t>中心支行</w:t>
                    </w:r>
                  </w:p>
                  <w:p>
                    <w:pPr>
                      <w:spacing w:before="3"/>
                      <w:ind w:left="117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pacing w:val="-3"/>
                        <w:sz w:val="32"/>
                      </w:rPr>
                      <w:t>2022</w:t>
                    </w:r>
                    <w:r>
                      <w:rPr>
                        <w:spacing w:val="-59"/>
                        <w:sz w:val="32"/>
                      </w:rPr>
                      <w:t xml:space="preserve"> 年 </w:t>
                    </w:r>
                    <w:r>
                      <w:rPr>
                        <w:sz w:val="32"/>
                      </w:rPr>
                      <w:t>6</w:t>
                    </w:r>
                    <w:r>
                      <w:rPr>
                        <w:spacing w:val="-58"/>
                        <w:sz w:val="32"/>
                      </w:rPr>
                      <w:t xml:space="preserve"> 月 </w:t>
                    </w:r>
                    <w:r>
                      <w:rPr>
                        <w:sz w:val="32"/>
                      </w:rPr>
                      <w:t>21</w:t>
                    </w:r>
                    <w:r>
                      <w:rPr>
                        <w:spacing w:val="-44"/>
                        <w:sz w:val="32"/>
                      </w:rPr>
                      <w:t xml:space="preserve"> 日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3"/>
        <w:spacing w:before="4"/>
        <w:rPr>
          <w:sz w:val="18"/>
        </w:rPr>
      </w:pPr>
    </w:p>
    <w:p>
      <w:pPr>
        <w:spacing w:after="0"/>
        <w:rPr>
          <w:sz w:val="18"/>
        </w:rPr>
        <w:sectPr>
          <w:pgSz w:w="11910" w:h="16840"/>
          <w:pgMar w:top="1600" w:right="1200" w:bottom="1660" w:left="1400" w:header="0" w:footer="1469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2"/>
        <w:spacing w:before="273" w:line="184" w:lineRule="auto"/>
        <w:ind w:left="3769" w:right="1548" w:hanging="2170"/>
      </w:pPr>
      <w:r>
        <w:t>济南市中小微企业转贷引导基金实施办法</w:t>
      </w:r>
    </w:p>
    <w:p>
      <w:pPr>
        <w:pStyle w:val="3"/>
        <w:spacing w:before="9"/>
        <w:rPr>
          <w:rFonts w:ascii="方正小标宋简体"/>
          <w:sz w:val="34"/>
        </w:rPr>
      </w:pPr>
    </w:p>
    <w:p>
      <w:pPr>
        <w:pStyle w:val="3"/>
        <w:tabs>
          <w:tab w:val="left" w:pos="2125"/>
        </w:tabs>
        <w:spacing w:before="1" w:line="328" w:lineRule="auto"/>
        <w:ind w:left="243" w:right="108" w:firstLine="627"/>
      </w:pPr>
      <w:r>
        <w:rPr>
          <w:rFonts w:hint="eastAsia" w:ascii="黑体" w:eastAsia="黑体"/>
          <w:spacing w:val="-6"/>
        </w:rPr>
        <w:t>第一</w:t>
      </w:r>
      <w:r>
        <w:rPr>
          <w:rFonts w:hint="eastAsia" w:ascii="黑体" w:eastAsia="黑体"/>
        </w:rPr>
        <w:t>条</w:t>
      </w:r>
      <w:r>
        <w:rPr>
          <w:rFonts w:hint="eastAsia" w:ascii="黑体" w:eastAsia="黑体"/>
        </w:rPr>
        <w:tab/>
      </w:r>
      <w:r>
        <w:rPr>
          <w:spacing w:val="-7"/>
        </w:rPr>
        <w:t>为支持实体经济发展，有效防止和化解企业资金链风险，及时帮助遇到资金周转困</w:t>
      </w:r>
      <w:r>
        <w:rPr>
          <w:spacing w:val="-8"/>
        </w:rPr>
        <w:t>难</w:t>
      </w:r>
      <w:r>
        <w:rPr>
          <w:spacing w:val="-7"/>
        </w:rPr>
        <w:t>的中小微企业获得金融机</w:t>
      </w:r>
      <w:r>
        <w:rPr>
          <w:spacing w:val="-9"/>
        </w:rPr>
        <w:t>构</w:t>
      </w:r>
      <w:r>
        <w:t>支</w:t>
      </w:r>
      <w:r>
        <w:rPr>
          <w:spacing w:val="-7"/>
        </w:rPr>
        <w:t>持，根据《山东省人民政府关于</w:t>
      </w:r>
      <w:r>
        <w:rPr>
          <w:spacing w:val="-8"/>
        </w:rPr>
        <w:t>印</w:t>
      </w:r>
      <w:r>
        <w:rPr>
          <w:spacing w:val="-7"/>
        </w:rPr>
        <w:t>发支持实体经济高质量发</w:t>
      </w:r>
      <w:r>
        <w:rPr>
          <w:spacing w:val="-9"/>
        </w:rPr>
        <w:t>展</w:t>
      </w:r>
      <w:r>
        <w:t>的</w:t>
      </w:r>
      <w:r>
        <w:rPr>
          <w:spacing w:val="-7"/>
        </w:rPr>
        <w:t>若干政策的通知</w:t>
      </w:r>
      <w:r>
        <w:rPr>
          <w:spacing w:val="-29"/>
        </w:rPr>
        <w:t>》</w:t>
      </w:r>
      <w:r>
        <w:rPr>
          <w:spacing w:val="-7"/>
        </w:rPr>
        <w:t>（鲁政</w:t>
      </w:r>
      <w:r>
        <w:rPr>
          <w:spacing w:val="-18"/>
        </w:rPr>
        <w:t>发</w:t>
      </w:r>
      <w:r>
        <w:rPr>
          <w:spacing w:val="-7"/>
        </w:rPr>
        <w:t>〔</w:t>
      </w:r>
      <w:r>
        <w:rPr>
          <w:spacing w:val="-5"/>
        </w:rPr>
        <w:t>2018</w:t>
      </w:r>
      <w:r>
        <w:rPr>
          <w:spacing w:val="-17"/>
        </w:rPr>
        <w:t>〕</w:t>
      </w:r>
      <w:r>
        <w:t>21</w:t>
      </w:r>
      <w:r>
        <w:rPr>
          <w:spacing w:val="-85"/>
        </w:rPr>
        <w:t xml:space="preserve"> </w:t>
      </w:r>
      <w:r>
        <w:rPr>
          <w:spacing w:val="-7"/>
        </w:rPr>
        <w:t>号</w:t>
      </w:r>
      <w:r>
        <w:rPr>
          <w:spacing w:val="-18"/>
        </w:rPr>
        <w:t>）</w:t>
      </w:r>
      <w:r>
        <w:rPr>
          <w:spacing w:val="-28"/>
        </w:rPr>
        <w:t>、</w:t>
      </w:r>
      <w:r>
        <w:rPr>
          <w:spacing w:val="-7"/>
        </w:rPr>
        <w:t>《山东省人民政府关于支持民营经济高质量发展的若干意</w:t>
      </w:r>
      <w:r>
        <w:rPr>
          <w:spacing w:val="-8"/>
        </w:rPr>
        <w:t>见</w:t>
      </w:r>
      <w:r>
        <w:rPr>
          <w:spacing w:val="-6"/>
        </w:rPr>
        <w:t>》（鲁政发〔</w:t>
      </w:r>
      <w:r>
        <w:rPr>
          <w:spacing w:val="-5"/>
        </w:rPr>
        <w:t>2018</w:t>
      </w:r>
      <w:r>
        <w:rPr>
          <w:spacing w:val="-6"/>
        </w:rPr>
        <w:t>〕</w:t>
      </w:r>
      <w:r>
        <w:rPr>
          <w:spacing w:val="-3"/>
        </w:rPr>
        <w:t xml:space="preserve">26 </w:t>
      </w:r>
      <w:r>
        <w:rPr>
          <w:spacing w:val="-6"/>
        </w:rPr>
        <w:t>号</w:t>
      </w:r>
      <w:r>
        <w:rPr>
          <w:spacing w:val="-137"/>
        </w:rPr>
        <w:t>）</w:t>
      </w:r>
      <w:r>
        <w:rPr>
          <w:spacing w:val="-269"/>
        </w:rPr>
        <w:t>、</w:t>
      </w:r>
      <w:r>
        <w:rPr>
          <w:spacing w:val="-7"/>
        </w:rPr>
        <w:t>《关于建立企业应急转贷基金的指导意见</w:t>
      </w:r>
      <w:r>
        <w:rPr>
          <w:spacing w:val="-269"/>
        </w:rPr>
        <w:t>》</w:t>
      </w:r>
      <w:r>
        <w:rPr>
          <w:spacing w:val="-7"/>
        </w:rPr>
        <w:t>（鲁金监</w:t>
      </w:r>
      <w:r>
        <w:rPr>
          <w:spacing w:val="-139"/>
        </w:rPr>
        <w:t>字</w:t>
      </w:r>
      <w:r>
        <w:rPr>
          <w:spacing w:val="-8"/>
        </w:rPr>
        <w:t>〔</w:t>
      </w:r>
      <w:r>
        <w:rPr>
          <w:spacing w:val="-4"/>
        </w:rPr>
        <w:t>2019〕</w:t>
      </w:r>
      <w:r>
        <w:t>15</w:t>
      </w:r>
      <w:r>
        <w:rPr>
          <w:spacing w:val="-83"/>
        </w:rPr>
        <w:t xml:space="preserve"> </w:t>
      </w:r>
      <w:r>
        <w:rPr>
          <w:spacing w:val="-7"/>
        </w:rPr>
        <w:t>号</w:t>
      </w:r>
      <w:r>
        <w:rPr>
          <w:spacing w:val="-27"/>
        </w:rPr>
        <w:t>）</w:t>
      </w:r>
      <w:r>
        <w:rPr>
          <w:spacing w:val="-26"/>
        </w:rPr>
        <w:t>和</w:t>
      </w:r>
      <w:r>
        <w:rPr>
          <w:spacing w:val="-7"/>
        </w:rPr>
        <w:t>《山东省省级企业应急转贷引导基金管理办法</w:t>
      </w:r>
      <w:r>
        <w:rPr>
          <w:spacing w:val="-45"/>
        </w:rPr>
        <w:t>》</w:t>
      </w:r>
      <w:r>
        <w:rPr>
          <w:spacing w:val="-7"/>
        </w:rPr>
        <w:t>（鲁工信发〔</w:t>
      </w:r>
      <w:r>
        <w:rPr>
          <w:spacing w:val="-5"/>
        </w:rPr>
        <w:t>2021</w:t>
      </w:r>
      <w:r>
        <w:rPr>
          <w:spacing w:val="-7"/>
        </w:rPr>
        <w:t>〕</w:t>
      </w:r>
      <w:r>
        <w:t>3</w:t>
      </w:r>
      <w:r>
        <w:rPr>
          <w:spacing w:val="-87"/>
        </w:rPr>
        <w:t xml:space="preserve"> </w:t>
      </w:r>
      <w:r>
        <w:rPr>
          <w:spacing w:val="-7"/>
        </w:rPr>
        <w:t>号），结合我市实际，特制定本办法。</w:t>
      </w:r>
    </w:p>
    <w:p>
      <w:pPr>
        <w:pStyle w:val="3"/>
        <w:tabs>
          <w:tab w:val="left" w:pos="2125"/>
        </w:tabs>
        <w:spacing w:line="397" w:lineRule="exact"/>
        <w:ind w:left="871"/>
      </w:pPr>
      <w:r>
        <w:rPr>
          <w:rFonts w:hint="eastAsia" w:ascii="黑体" w:eastAsia="黑体"/>
          <w:spacing w:val="-6"/>
        </w:rPr>
        <w:t>第二</w:t>
      </w:r>
      <w:r>
        <w:rPr>
          <w:rFonts w:hint="eastAsia" w:ascii="黑体" w:eastAsia="黑体"/>
        </w:rPr>
        <w:t>条</w:t>
      </w:r>
      <w:r>
        <w:rPr>
          <w:rFonts w:hint="eastAsia" w:ascii="黑体" w:eastAsia="黑体"/>
        </w:rPr>
        <w:tab/>
      </w:r>
      <w:r>
        <w:rPr>
          <w:spacing w:val="-7"/>
        </w:rPr>
        <w:t>转贷引导基金由市财政安排专项资金设立，微利市</w:t>
      </w:r>
    </w:p>
    <w:p>
      <w:pPr>
        <w:pStyle w:val="3"/>
        <w:spacing w:before="149" w:line="328" w:lineRule="auto"/>
        <w:ind w:left="243" w:right="262"/>
        <w:jc w:val="both"/>
      </w:pPr>
      <w:r>
        <w:rPr>
          <w:spacing w:val="-9"/>
        </w:rPr>
        <w:t>场化运营。通过政策引导，吸引各类社会资本参与，实现可持续发展。根据转贷引导基金使用和需求情况，逐步扩大其规模，更</w:t>
      </w:r>
      <w:r>
        <w:rPr>
          <w:spacing w:val="-7"/>
        </w:rPr>
        <w:t>好地满足中小微企业需求。</w:t>
      </w:r>
    </w:p>
    <w:p>
      <w:pPr>
        <w:pStyle w:val="3"/>
        <w:spacing w:line="328" w:lineRule="auto"/>
        <w:ind w:left="243" w:right="262" w:firstLine="627"/>
        <w:jc w:val="both"/>
      </w:pPr>
      <w:r>
        <w:rPr>
          <w:rFonts w:hint="eastAsia" w:ascii="黑体" w:eastAsia="黑体"/>
          <w:spacing w:val="35"/>
        </w:rPr>
        <w:t xml:space="preserve">第三条 </w:t>
      </w:r>
      <w:r>
        <w:rPr>
          <w:spacing w:val="-7"/>
        </w:rPr>
        <w:t>转贷引导基金主要为本市行政区域内依法设立，信</w:t>
      </w:r>
      <w:r>
        <w:rPr>
          <w:spacing w:val="-9"/>
        </w:rPr>
        <w:t>用良好，资金周转暂时遇到困难的中小微企业，提供短期资金融</w:t>
      </w:r>
      <w:r>
        <w:rPr>
          <w:spacing w:val="-6"/>
        </w:rPr>
        <w:t>通服务。</w:t>
      </w:r>
    </w:p>
    <w:p>
      <w:pPr>
        <w:pStyle w:val="3"/>
        <w:spacing w:line="328" w:lineRule="auto"/>
        <w:ind w:left="243" w:right="110" w:firstLine="627"/>
      </w:pPr>
      <w:r>
        <w:rPr>
          <w:spacing w:val="-19"/>
        </w:rPr>
        <w:t>本办法所称中小微企业，是指在本市依法设立，符合工信部、国家统计局、发展改革委、财政部《关于印发中小企业划型标准</w:t>
      </w:r>
      <w:r>
        <w:rPr>
          <w:spacing w:val="-36"/>
        </w:rPr>
        <w:t>规定的通知》</w:t>
      </w:r>
      <w:r>
        <w:rPr>
          <w:spacing w:val="-8"/>
        </w:rPr>
        <w:t>（</w:t>
      </w:r>
      <w:r>
        <w:rPr>
          <w:spacing w:val="-10"/>
        </w:rPr>
        <w:t>工信部联企业〔</w:t>
      </w:r>
      <w:r>
        <w:rPr>
          <w:spacing w:val="-4"/>
        </w:rPr>
        <w:t>2011</w:t>
      </w:r>
      <w:r>
        <w:rPr>
          <w:spacing w:val="-23"/>
        </w:rPr>
        <w:t>〕</w:t>
      </w:r>
      <w:r>
        <w:rPr>
          <w:spacing w:val="-3"/>
        </w:rPr>
        <w:t>300</w:t>
      </w:r>
      <w:r>
        <w:rPr>
          <w:spacing w:val="-45"/>
        </w:rPr>
        <w:t xml:space="preserve"> 号</w:t>
      </w:r>
      <w:r>
        <w:rPr>
          <w:spacing w:val="-22"/>
        </w:rPr>
        <w:t>）</w:t>
      </w:r>
      <w:r>
        <w:rPr>
          <w:spacing w:val="-9"/>
        </w:rPr>
        <w:t>的中型、小型和微</w:t>
      </w:r>
      <w:r>
        <w:rPr>
          <w:spacing w:val="-7"/>
        </w:rPr>
        <w:t>型企业（如遇政策调整，则按国家最新规定执行</w:t>
      </w:r>
      <w:r>
        <w:rPr>
          <w:spacing w:val="-165"/>
        </w:rPr>
        <w:t>）</w:t>
      </w:r>
      <w:r>
        <w:t>。</w:t>
      </w:r>
    </w:p>
    <w:p>
      <w:pPr>
        <w:spacing w:after="0" w:line="328" w:lineRule="auto"/>
        <w:sectPr>
          <w:pgSz w:w="11910" w:h="16840"/>
          <w:pgMar w:top="1600" w:right="1200" w:bottom="1660" w:left="1400" w:header="0" w:footer="1469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8"/>
        <w:rPr>
          <w:sz w:val="15"/>
        </w:rPr>
      </w:pPr>
    </w:p>
    <w:p>
      <w:pPr>
        <w:pStyle w:val="3"/>
        <w:spacing w:before="56" w:line="328" w:lineRule="auto"/>
        <w:ind w:left="244" w:right="262" w:firstLine="627"/>
        <w:jc w:val="both"/>
      </w:pPr>
      <w:r>
        <w:rPr>
          <w:rFonts w:hint="eastAsia" w:ascii="黑体" w:eastAsia="黑体"/>
          <w:spacing w:val="35"/>
        </w:rPr>
        <w:t xml:space="preserve">第四条 </w:t>
      </w:r>
      <w:r>
        <w:rPr>
          <w:spacing w:val="-7"/>
        </w:rPr>
        <w:t>市工业和信息化局、市财政局、市地方金融监督管</w:t>
      </w:r>
      <w:r>
        <w:rPr>
          <w:spacing w:val="-9"/>
        </w:rPr>
        <w:t>理局、人民银行济南分行营业管理部、人民银行莱芜市中心支行</w:t>
      </w:r>
      <w:r>
        <w:rPr>
          <w:spacing w:val="-8"/>
        </w:rPr>
        <w:t>联合成立转贷工作推进小组(以下简称推进小组)，负责研究制订</w:t>
      </w:r>
      <w:r>
        <w:rPr>
          <w:spacing w:val="-9"/>
        </w:rPr>
        <w:t>转贷引导基金管理办法，落实资金来源，协调解决运行中的重大</w:t>
      </w:r>
      <w:r>
        <w:rPr>
          <w:spacing w:val="-7"/>
        </w:rPr>
        <w:t>问题。推进小组办公室设在市工业和信息化局。</w:t>
      </w:r>
    </w:p>
    <w:p>
      <w:pPr>
        <w:pStyle w:val="3"/>
        <w:spacing w:line="328" w:lineRule="auto"/>
        <w:ind w:left="244" w:right="260" w:firstLine="627"/>
        <w:jc w:val="both"/>
      </w:pPr>
      <w:r>
        <w:rPr>
          <w:rFonts w:hint="eastAsia" w:ascii="黑体" w:eastAsia="黑体"/>
          <w:spacing w:val="10"/>
        </w:rPr>
        <w:t xml:space="preserve">第五条 </w:t>
      </w:r>
      <w:r>
        <w:rPr>
          <w:spacing w:val="5"/>
        </w:rPr>
        <w:t>济南市中小企业公共服务中心作为市转贷引导基</w:t>
      </w:r>
      <w:r>
        <w:rPr>
          <w:spacing w:val="-8"/>
        </w:rPr>
        <w:t>金管理平台(以下简称转贷管理平台)，在推进小组指导下，履行</w:t>
      </w:r>
      <w:r>
        <w:rPr>
          <w:spacing w:val="-6"/>
        </w:rPr>
        <w:t>下列职责：</w:t>
      </w:r>
    </w:p>
    <w:p>
      <w:pPr>
        <w:pStyle w:val="3"/>
        <w:spacing w:line="405" w:lineRule="exact"/>
        <w:ind w:left="871"/>
      </w:pPr>
      <w:r>
        <w:t>（一）依据本办法制定实施细则并组织实施；</w:t>
      </w:r>
    </w:p>
    <w:p>
      <w:pPr>
        <w:pStyle w:val="3"/>
        <w:spacing w:before="141"/>
        <w:ind w:left="871"/>
      </w:pPr>
      <w:r>
        <w:t>（二）负责市级转贷引导基金的管理；</w:t>
      </w:r>
    </w:p>
    <w:p>
      <w:pPr>
        <w:pStyle w:val="3"/>
        <w:spacing w:before="151"/>
        <w:ind w:left="871"/>
      </w:pPr>
      <w:r>
        <w:rPr>
          <w:spacing w:val="-7"/>
        </w:rPr>
        <w:t>（三）确定合作金融机构和转贷服务机构；</w:t>
      </w:r>
    </w:p>
    <w:p>
      <w:pPr>
        <w:pStyle w:val="3"/>
        <w:spacing w:before="150"/>
        <w:ind w:left="871"/>
      </w:pPr>
      <w:r>
        <w:rPr>
          <w:spacing w:val="-7"/>
        </w:rPr>
        <w:t>（四）按季向推进小组报送转贷服务情况；</w:t>
      </w:r>
    </w:p>
    <w:p>
      <w:pPr>
        <w:pStyle w:val="3"/>
        <w:spacing w:before="149"/>
        <w:ind w:left="871"/>
      </w:pPr>
      <w:r>
        <w:t>（五）推进小组确定的其他职责。</w:t>
      </w:r>
    </w:p>
    <w:p>
      <w:pPr>
        <w:pStyle w:val="3"/>
        <w:spacing w:before="151" w:line="328" w:lineRule="auto"/>
        <w:ind w:left="244" w:right="267" w:firstLine="627"/>
        <w:jc w:val="both"/>
      </w:pPr>
      <w:r>
        <w:rPr>
          <w:rFonts w:hint="eastAsia" w:ascii="黑体" w:eastAsia="黑体"/>
          <w:spacing w:val="35"/>
        </w:rPr>
        <w:t xml:space="preserve">第六条 </w:t>
      </w:r>
      <w:r>
        <w:rPr>
          <w:spacing w:val="-7"/>
        </w:rPr>
        <w:t>本办法所称合作金融机构，是指与转贷管理平台签</w:t>
      </w:r>
      <w:r>
        <w:rPr>
          <w:spacing w:val="-17"/>
        </w:rPr>
        <w:t>署合作协议的金融机构,包括：国有商业银行、股份制商业银行和城市商业银行等银行业金融机构。</w:t>
      </w:r>
    </w:p>
    <w:p>
      <w:pPr>
        <w:pStyle w:val="3"/>
        <w:spacing w:line="328" w:lineRule="auto"/>
        <w:ind w:left="244" w:right="258" w:firstLine="627"/>
        <w:jc w:val="both"/>
      </w:pPr>
      <w:r>
        <w:rPr>
          <w:rFonts w:hint="eastAsia" w:ascii="黑体" w:eastAsia="黑体"/>
        </w:rPr>
        <w:t xml:space="preserve">第七条 </w:t>
      </w:r>
      <w:r>
        <w:t>转贷管理平台与合作金融机构应书面明确合作方式、服务流程及双方权利与义务，确保服务规范和资金安全。</w:t>
      </w:r>
    </w:p>
    <w:p>
      <w:pPr>
        <w:pStyle w:val="3"/>
        <w:spacing w:line="328" w:lineRule="auto"/>
        <w:ind w:left="244" w:right="260" w:firstLine="627"/>
        <w:jc w:val="both"/>
      </w:pPr>
      <w:r>
        <w:rPr>
          <w:rFonts w:hint="eastAsia" w:ascii="黑体" w:eastAsia="黑体"/>
          <w:spacing w:val="10"/>
        </w:rPr>
        <w:t xml:space="preserve">第八条 </w:t>
      </w:r>
      <w:r>
        <w:rPr>
          <w:spacing w:val="5"/>
        </w:rPr>
        <w:t>本办法所称转贷服务机构是指同转贷管理平台签</w:t>
      </w:r>
      <w:r>
        <w:rPr>
          <w:spacing w:val="-9"/>
        </w:rPr>
        <w:t>署合作协议，共同参与转贷服务的区县政策性转贷服务机构和社</w:t>
      </w:r>
      <w:r>
        <w:rPr>
          <w:spacing w:val="-7"/>
        </w:rPr>
        <w:t>会资本机构。应具备以下条件：</w:t>
      </w:r>
    </w:p>
    <w:p>
      <w:pPr>
        <w:pStyle w:val="3"/>
        <w:spacing w:line="328" w:lineRule="auto"/>
        <w:ind w:left="244" w:right="264" w:firstLine="627"/>
      </w:pPr>
      <w:r>
        <w:t>（一）符合国家法律法规要求,具有法人资格的金融服务类企业;</w:t>
      </w:r>
    </w:p>
    <w:p>
      <w:pPr>
        <w:spacing w:after="0" w:line="328" w:lineRule="auto"/>
        <w:sectPr>
          <w:pgSz w:w="11910" w:h="16840"/>
          <w:pgMar w:top="1600" w:right="1200" w:bottom="1660" w:left="1400" w:header="0" w:footer="1469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8"/>
        <w:rPr>
          <w:sz w:val="15"/>
        </w:rPr>
      </w:pPr>
    </w:p>
    <w:p>
      <w:pPr>
        <w:pStyle w:val="3"/>
        <w:spacing w:before="56" w:line="328" w:lineRule="auto"/>
        <w:ind w:left="244" w:right="268" w:firstLine="627"/>
      </w:pPr>
      <w:r>
        <w:rPr>
          <w:spacing w:val="-7"/>
        </w:rPr>
        <w:t>（二）有规范的管理体系和风险管控制度，配备专业运作团</w:t>
      </w:r>
      <w:r>
        <w:rPr>
          <w:spacing w:val="-6"/>
        </w:rPr>
        <w:t>队；</w:t>
      </w:r>
    </w:p>
    <w:p>
      <w:pPr>
        <w:pStyle w:val="3"/>
        <w:spacing w:line="326" w:lineRule="auto"/>
        <w:ind w:left="244" w:right="268" w:firstLine="627"/>
      </w:pPr>
      <w:r>
        <w:rPr>
          <w:spacing w:val="-7"/>
        </w:rPr>
        <w:t>（三）债权、债务关系明晰，无不良信用记录，无社会吸储等违法违规行为；</w:t>
      </w:r>
    </w:p>
    <w:p>
      <w:pPr>
        <w:pStyle w:val="3"/>
        <w:spacing w:before="1" w:line="328" w:lineRule="auto"/>
        <w:ind w:left="244" w:right="113" w:firstLine="627"/>
        <w:jc w:val="both"/>
      </w:pPr>
      <w:r>
        <w:rPr>
          <w:spacing w:val="-7"/>
        </w:rPr>
        <w:t>（四</w:t>
      </w:r>
      <w:r>
        <w:rPr>
          <w:spacing w:val="-84"/>
        </w:rPr>
        <w:t>）</w:t>
      </w:r>
      <w:r>
        <w:rPr>
          <w:spacing w:val="-11"/>
        </w:rPr>
        <w:t xml:space="preserve">区县政策性转贷服务机构要求注册资本金人民币 </w:t>
      </w:r>
      <w:r>
        <w:rPr>
          <w:spacing w:val="-4"/>
        </w:rPr>
        <w:t xml:space="preserve">3000 </w:t>
      </w:r>
      <w:r>
        <w:rPr>
          <w:spacing w:val="-7"/>
        </w:rPr>
        <w:t>万元（含）</w:t>
      </w:r>
      <w:r>
        <w:rPr>
          <w:spacing w:val="-9"/>
        </w:rPr>
        <w:t>以上，实缴到位。社会资本机构要求注册资本金人民</w:t>
      </w:r>
      <w:r>
        <w:rPr>
          <w:spacing w:val="-48"/>
        </w:rPr>
        <w:t xml:space="preserve">币 </w:t>
      </w:r>
      <w:r>
        <w:t>1</w:t>
      </w:r>
      <w:r>
        <w:rPr>
          <w:spacing w:val="-13"/>
        </w:rPr>
        <w:t xml:space="preserve"> 亿元</w:t>
      </w:r>
      <w:r>
        <w:rPr>
          <w:spacing w:val="-8"/>
        </w:rPr>
        <w:t>（</w:t>
      </w:r>
      <w:r>
        <w:rPr>
          <w:spacing w:val="-7"/>
        </w:rPr>
        <w:t>含</w:t>
      </w:r>
      <w:r>
        <w:rPr>
          <w:spacing w:val="-27"/>
        </w:rPr>
        <w:t>）</w:t>
      </w:r>
      <w:r>
        <w:rPr>
          <w:spacing w:val="-23"/>
        </w:rPr>
        <w:t xml:space="preserve">以上，实缴 </w:t>
      </w:r>
      <w:r>
        <w:rPr>
          <w:spacing w:val="-4"/>
        </w:rPr>
        <w:t>5000</w:t>
      </w:r>
      <w:r>
        <w:rPr>
          <w:spacing w:val="-25"/>
        </w:rPr>
        <w:t xml:space="preserve"> 万元以上，持续经营 </w:t>
      </w:r>
      <w:r>
        <w:t>2</w:t>
      </w:r>
      <w:r>
        <w:rPr>
          <w:spacing w:val="-23"/>
        </w:rPr>
        <w:t xml:space="preserve"> 年以上；</w:t>
      </w:r>
    </w:p>
    <w:p>
      <w:pPr>
        <w:pStyle w:val="3"/>
        <w:spacing w:line="405" w:lineRule="exact"/>
        <w:ind w:left="871"/>
      </w:pPr>
      <w:r>
        <w:t>（五）法律法规规定的其他条件。</w:t>
      </w:r>
    </w:p>
    <w:p>
      <w:pPr>
        <w:pStyle w:val="3"/>
        <w:tabs>
          <w:tab w:val="left" w:pos="2124"/>
        </w:tabs>
        <w:spacing w:before="151"/>
        <w:ind w:left="871"/>
      </w:pPr>
      <w:r>
        <w:rPr>
          <w:rFonts w:hint="eastAsia" w:ascii="黑体" w:eastAsia="黑体"/>
          <w:spacing w:val="-6"/>
        </w:rPr>
        <w:t>第九</w:t>
      </w:r>
      <w:r>
        <w:rPr>
          <w:rFonts w:hint="eastAsia" w:ascii="黑体" w:eastAsia="黑体"/>
        </w:rPr>
        <w:t>条</w:t>
      </w:r>
      <w:r>
        <w:rPr>
          <w:rFonts w:hint="eastAsia" w:ascii="黑体" w:eastAsia="黑体"/>
        </w:rPr>
        <w:tab/>
      </w:r>
      <w:r>
        <w:rPr>
          <w:spacing w:val="-7"/>
        </w:rPr>
        <w:t>申请企业一般应具备以下条件：</w:t>
      </w:r>
    </w:p>
    <w:p>
      <w:pPr>
        <w:pStyle w:val="3"/>
        <w:spacing w:before="149" w:line="328" w:lineRule="auto"/>
        <w:ind w:left="244" w:right="268" w:firstLine="627"/>
      </w:pPr>
      <w:r>
        <w:rPr>
          <w:spacing w:val="-7"/>
        </w:rPr>
        <w:t>（一）济南市范围内依法设立、在税务机关依法登记纳税， 管理规范，财务管理制度和会计核算体系健全；</w:t>
      </w:r>
    </w:p>
    <w:p>
      <w:pPr>
        <w:pStyle w:val="3"/>
        <w:spacing w:line="407" w:lineRule="exact"/>
        <w:ind w:left="871"/>
      </w:pPr>
      <w:r>
        <w:t>（二）生产经营状况良好，无严重不良信用记录；</w:t>
      </w:r>
    </w:p>
    <w:p>
      <w:pPr>
        <w:pStyle w:val="3"/>
        <w:spacing w:before="149"/>
        <w:ind w:left="871"/>
      </w:pPr>
      <w:r>
        <w:t>（三）法律法规规定的其他条件。</w:t>
      </w:r>
    </w:p>
    <w:p>
      <w:pPr>
        <w:pStyle w:val="3"/>
        <w:spacing w:before="151" w:line="328" w:lineRule="auto"/>
        <w:ind w:left="244" w:right="267" w:firstLine="627"/>
        <w:jc w:val="both"/>
      </w:pPr>
      <w:r>
        <w:rPr>
          <w:rFonts w:hint="eastAsia" w:ascii="黑体" w:hAnsi="黑体" w:eastAsia="黑体"/>
        </w:rPr>
        <w:t xml:space="preserve">第十条 </w:t>
      </w:r>
      <w:r>
        <w:t>转贷引导基金使用遵循“专款专用、封闭运行、滚动使用、确保安全”的原则，坚持公开、公正服务。</w:t>
      </w:r>
    </w:p>
    <w:p>
      <w:pPr>
        <w:pStyle w:val="3"/>
        <w:spacing w:line="324" w:lineRule="auto"/>
        <w:ind w:left="243" w:right="266" w:firstLine="627"/>
        <w:jc w:val="both"/>
      </w:pPr>
      <w:r>
        <w:rPr>
          <w:rFonts w:hint="eastAsia" w:ascii="黑体" w:eastAsia="黑体"/>
          <w:spacing w:val="-6"/>
          <w:w w:val="100"/>
        </w:rPr>
        <w:t>第十一条</w:t>
      </w:r>
      <w:r>
        <w:rPr>
          <w:rFonts w:hint="eastAsia" w:ascii="黑体" w:eastAsia="黑体"/>
          <w:spacing w:val="-7"/>
        </w:rPr>
        <w:t xml:space="preserve">  </w:t>
      </w:r>
      <w:r>
        <w:rPr>
          <w:spacing w:val="-7"/>
          <w:w w:val="100"/>
        </w:rPr>
        <w:t>单笔转贷额度最高</w:t>
      </w:r>
      <w:r>
        <w:rPr>
          <w:spacing w:val="-87"/>
        </w:rPr>
        <w:t xml:space="preserve"> </w:t>
      </w:r>
      <w:r>
        <w:rPr>
          <w:spacing w:val="-4"/>
          <w:w w:val="100"/>
        </w:rPr>
        <w:t>5</w:t>
      </w:r>
      <w:r>
        <w:rPr>
          <w:spacing w:val="-5"/>
          <w:w w:val="100"/>
        </w:rPr>
        <w:t>0</w:t>
      </w:r>
      <w:r>
        <w:rPr>
          <w:spacing w:val="-4"/>
          <w:w w:val="100"/>
        </w:rPr>
        <w:t>0</w:t>
      </w:r>
      <w:r>
        <w:rPr>
          <w:w w:val="100"/>
        </w:rPr>
        <w:t>0</w:t>
      </w:r>
      <w:r>
        <w:rPr>
          <w:spacing w:val="-87"/>
        </w:rPr>
        <w:t xml:space="preserve"> </w:t>
      </w:r>
      <w:r>
        <w:rPr>
          <w:spacing w:val="-7"/>
          <w:w w:val="100"/>
        </w:rPr>
        <w:t>万元（含</w:t>
      </w:r>
      <w:r>
        <w:rPr>
          <w:spacing w:val="-164"/>
          <w:w w:val="100"/>
        </w:rPr>
        <w:t>）</w:t>
      </w:r>
      <w:r>
        <w:rPr>
          <w:spacing w:val="-7"/>
          <w:w w:val="100"/>
        </w:rPr>
        <w:t>，其中转贷引</w:t>
      </w:r>
      <w:r>
        <w:rPr>
          <w:spacing w:val="-7"/>
          <w:position w:val="1"/>
        </w:rPr>
        <w:t>导基金出资比例不超</w:t>
      </w:r>
      <w:r>
        <w:rPr>
          <w:position w:val="1"/>
        </w:rPr>
        <w:t>过</w:t>
      </w:r>
      <w:r>
        <w:rPr>
          <w:spacing w:val="-82"/>
          <w:position w:val="1"/>
        </w:rPr>
        <w:t xml:space="preserve"> </w:t>
      </w:r>
      <w:r>
        <w:rPr>
          <w:position w:val="1"/>
        </w:rPr>
        <w:t>40</w:t>
      </w:r>
      <w:r>
        <w:rPr>
          <w:spacing w:val="5"/>
          <w:w w:val="100"/>
        </w:rPr>
        <w:drawing>
          <wp:inline distT="0" distB="0" distL="0" distR="0">
            <wp:extent cx="85090" cy="154940"/>
            <wp:effectExtent l="0" t="0" r="0" b="0"/>
            <wp:docPr id="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7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6"/>
          <w:position w:val="1"/>
        </w:rPr>
        <w:t>；</w:t>
      </w:r>
      <w:r>
        <w:rPr>
          <w:spacing w:val="-7"/>
          <w:position w:val="1"/>
        </w:rPr>
        <w:t>单笔转贷额度超</w:t>
      </w:r>
      <w:r>
        <w:rPr>
          <w:position w:val="1"/>
        </w:rPr>
        <w:t>过</w:t>
      </w:r>
      <w:r>
        <w:rPr>
          <w:spacing w:val="-84"/>
          <w:position w:val="1"/>
        </w:rPr>
        <w:t xml:space="preserve"> </w:t>
      </w:r>
      <w:r>
        <w:rPr>
          <w:spacing w:val="-4"/>
          <w:position w:val="1"/>
        </w:rPr>
        <w:t>5000</w:t>
      </w:r>
      <w:r>
        <w:rPr>
          <w:spacing w:val="-82"/>
          <w:position w:val="1"/>
        </w:rPr>
        <w:t xml:space="preserve"> </w:t>
      </w:r>
      <w:r>
        <w:rPr>
          <w:spacing w:val="-7"/>
          <w:position w:val="1"/>
        </w:rPr>
        <w:t>万元</w:t>
      </w:r>
      <w:r>
        <w:rPr>
          <w:spacing w:val="-47"/>
          <w:position w:val="1"/>
        </w:rPr>
        <w:t>，</w:t>
      </w:r>
      <w:r>
        <w:rPr>
          <w:spacing w:val="-7"/>
          <w:position w:val="1"/>
        </w:rPr>
        <w:t>最高</w:t>
      </w:r>
    </w:p>
    <w:p>
      <w:pPr>
        <w:pStyle w:val="3"/>
        <w:spacing w:before="10" w:line="328" w:lineRule="auto"/>
        <w:ind w:left="243" w:right="267"/>
        <w:jc w:val="both"/>
      </w:pPr>
      <w:r>
        <w:rPr>
          <w:spacing w:val="-41"/>
        </w:rPr>
        <w:t xml:space="preserve">按 </w:t>
      </w:r>
      <w:r>
        <w:rPr>
          <w:spacing w:val="-4"/>
        </w:rPr>
        <w:t>5000</w:t>
      </w:r>
      <w:r>
        <w:rPr>
          <w:spacing w:val="-24"/>
        </w:rPr>
        <w:t xml:space="preserve"> 万元标准予以支持。转贷服务机构和企业自主决定使用费</w:t>
      </w:r>
      <w:r>
        <w:rPr>
          <w:spacing w:val="-19"/>
        </w:rPr>
        <w:t xml:space="preserve">率，但最高不得超过转贷金额的 </w:t>
      </w:r>
      <w:r>
        <w:rPr>
          <w:spacing w:val="-6"/>
        </w:rPr>
        <w:t>0.8‰/</w:t>
      </w:r>
      <w:r>
        <w:rPr>
          <w:spacing w:val="-14"/>
        </w:rPr>
        <w:t>天。单笔使用期限一般不</w:t>
      </w:r>
      <w:r>
        <w:rPr>
          <w:spacing w:val="-32"/>
        </w:rPr>
        <w:t xml:space="preserve">超过 </w:t>
      </w:r>
      <w:r>
        <w:t>10</w:t>
      </w:r>
      <w:r>
        <w:rPr>
          <w:spacing w:val="-34"/>
        </w:rPr>
        <w:t xml:space="preserve"> 天。</w:t>
      </w:r>
    </w:p>
    <w:p>
      <w:pPr>
        <w:pStyle w:val="3"/>
        <w:spacing w:line="328" w:lineRule="auto"/>
        <w:ind w:left="243" w:right="257" w:firstLine="627"/>
        <w:jc w:val="both"/>
      </w:pPr>
      <w:r>
        <w:rPr>
          <w:rFonts w:hint="eastAsia" w:ascii="黑体" w:eastAsia="黑体"/>
          <w:spacing w:val="10"/>
        </w:rPr>
        <w:t xml:space="preserve">第十二条 </w:t>
      </w:r>
      <w:r>
        <w:rPr>
          <w:spacing w:val="5"/>
        </w:rPr>
        <w:t>合作金融机构对同意续贷且落实续贷条件的企</w:t>
      </w:r>
      <w:r>
        <w:rPr>
          <w:spacing w:val="-9"/>
        </w:rPr>
        <w:t>业，承担足额按期续贷责任。对未按时足额续贷，引起转贷资金不能及时归还的，承担转贷资金归还、补足的清偿责任。合作金</w:t>
      </w:r>
    </w:p>
    <w:p>
      <w:pPr>
        <w:spacing w:after="0" w:line="328" w:lineRule="auto"/>
        <w:jc w:val="both"/>
        <w:sectPr>
          <w:pgSz w:w="11910" w:h="16840"/>
          <w:pgMar w:top="1600" w:right="1200" w:bottom="1660" w:left="1400" w:header="0" w:footer="1469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8"/>
        <w:rPr>
          <w:sz w:val="15"/>
        </w:rPr>
      </w:pPr>
    </w:p>
    <w:p>
      <w:pPr>
        <w:pStyle w:val="3"/>
        <w:spacing w:before="56" w:line="328" w:lineRule="auto"/>
        <w:ind w:left="243" w:right="262"/>
        <w:jc w:val="both"/>
      </w:pPr>
      <w:r>
        <w:rPr>
          <w:spacing w:val="-9"/>
        </w:rPr>
        <w:t>融机构因过失或违约导致转贷资金损失的，承担相应清偿责任。合作金融机构依法合规经营，且不因企业申请使用转贷服务而降</w:t>
      </w:r>
      <w:r>
        <w:rPr>
          <w:spacing w:val="-6"/>
        </w:rPr>
        <w:t>低该企业评级。</w:t>
      </w:r>
    </w:p>
    <w:p>
      <w:pPr>
        <w:pStyle w:val="3"/>
        <w:tabs>
          <w:tab w:val="left" w:pos="2441"/>
        </w:tabs>
        <w:spacing w:line="328" w:lineRule="auto"/>
        <w:ind w:left="243" w:right="109" w:firstLine="627"/>
      </w:pPr>
      <w:r>
        <w:rPr>
          <w:rFonts w:hint="eastAsia" w:ascii="黑体" w:eastAsia="黑体"/>
          <w:spacing w:val="-7"/>
        </w:rPr>
        <w:t>第十三</w:t>
      </w:r>
      <w:r>
        <w:rPr>
          <w:rFonts w:hint="eastAsia" w:ascii="黑体" w:eastAsia="黑体"/>
        </w:rPr>
        <w:t>条</w:t>
      </w:r>
      <w:r>
        <w:rPr>
          <w:rFonts w:hint="eastAsia" w:ascii="黑体" w:eastAsia="黑体"/>
        </w:rPr>
        <w:tab/>
      </w:r>
      <w:r>
        <w:rPr>
          <w:spacing w:val="-7"/>
        </w:rPr>
        <w:t>按照风险和收益匹配原则，政府出资的转贷引导基金不承担风险，其收益按同期贷款市</w:t>
      </w:r>
      <w:r>
        <w:rPr>
          <w:spacing w:val="-8"/>
        </w:rPr>
        <w:t>场</w:t>
      </w:r>
      <w:r>
        <w:rPr>
          <w:spacing w:val="-7"/>
        </w:rPr>
        <w:t>报价利率</w:t>
      </w:r>
      <w:r>
        <w:rPr>
          <w:spacing w:val="-6"/>
        </w:rPr>
        <w:t>（LPR）</w:t>
      </w:r>
      <w:r>
        <w:rPr>
          <w:spacing w:val="-7"/>
        </w:rPr>
        <w:t>计算， 剩余部分归转贷服务机构所有。</w:t>
      </w:r>
    </w:p>
    <w:p>
      <w:pPr>
        <w:pStyle w:val="3"/>
        <w:spacing w:line="328" w:lineRule="auto"/>
        <w:ind w:left="243" w:right="262" w:firstLine="627"/>
        <w:jc w:val="both"/>
      </w:pPr>
      <w:r>
        <w:rPr>
          <w:rFonts w:hint="eastAsia" w:ascii="黑体" w:eastAsia="黑体"/>
          <w:spacing w:val="26"/>
        </w:rPr>
        <w:t xml:space="preserve">第十四条 </w:t>
      </w:r>
      <w:r>
        <w:rPr>
          <w:spacing w:val="-7"/>
        </w:rPr>
        <w:t>加强省市转贷资金和业务协作，提高我市转贷资</w:t>
      </w:r>
      <w:r>
        <w:rPr>
          <w:spacing w:val="-9"/>
        </w:rPr>
        <w:t>金规模和服务能力。实施转贷服务不影响合作金融机构和企业申</w:t>
      </w:r>
      <w:r>
        <w:rPr>
          <w:spacing w:val="-6"/>
        </w:rPr>
        <w:t>报其他政策。</w:t>
      </w:r>
    </w:p>
    <w:p>
      <w:pPr>
        <w:pStyle w:val="3"/>
        <w:spacing w:line="328" w:lineRule="auto"/>
        <w:ind w:left="243" w:right="262" w:firstLine="627"/>
        <w:jc w:val="both"/>
      </w:pPr>
      <w:r>
        <w:rPr>
          <w:rFonts w:hint="eastAsia" w:ascii="黑体" w:eastAsia="黑体"/>
          <w:spacing w:val="26"/>
        </w:rPr>
        <w:t xml:space="preserve">第十五条 </w:t>
      </w:r>
      <w:r>
        <w:rPr>
          <w:spacing w:val="-7"/>
        </w:rPr>
        <w:t>合作金融机构向非我市企业发放的贷款，转贷引</w:t>
      </w:r>
      <w:r>
        <w:rPr>
          <w:spacing w:val="-9"/>
        </w:rPr>
        <w:t>导基金不予出资支持。转贷服务机构可以自有资金提供服务并承</w:t>
      </w:r>
      <w:r>
        <w:rPr>
          <w:spacing w:val="-6"/>
        </w:rPr>
        <w:t>担全部风险。</w:t>
      </w:r>
    </w:p>
    <w:p>
      <w:pPr>
        <w:pStyle w:val="3"/>
        <w:spacing w:line="328" w:lineRule="auto"/>
        <w:ind w:left="243" w:right="267" w:firstLine="627"/>
        <w:jc w:val="both"/>
      </w:pPr>
      <w:r>
        <w:rPr>
          <w:rFonts w:hint="eastAsia" w:ascii="黑体" w:eastAsia="黑体"/>
        </w:rPr>
        <w:t xml:space="preserve">第十六条 </w:t>
      </w:r>
      <w:r>
        <w:t>对采取虚报、瞒报等方式骗取转贷资金的企业， 依法追缴转贷资金，并对违法行为采取相应的法律措施。</w:t>
      </w:r>
    </w:p>
    <w:p>
      <w:pPr>
        <w:pStyle w:val="3"/>
        <w:spacing w:line="326" w:lineRule="auto"/>
        <w:ind w:left="243" w:right="257" w:firstLine="627"/>
        <w:jc w:val="both"/>
      </w:pPr>
      <w:r>
        <w:rPr>
          <w:rFonts w:hint="eastAsia" w:ascii="黑体" w:eastAsia="黑体"/>
        </w:rPr>
        <w:t xml:space="preserve">第十七条 </w:t>
      </w:r>
      <w:r>
        <w:t>转贷引导基金收益主要用于中小微企业服务工作。</w:t>
      </w:r>
    </w:p>
    <w:p>
      <w:pPr>
        <w:pStyle w:val="3"/>
        <w:ind w:left="871"/>
        <w:jc w:val="both"/>
      </w:pPr>
      <w:r>
        <w:rPr>
          <w:rFonts w:hint="eastAsia" w:ascii="黑体" w:eastAsia="黑体"/>
          <w:spacing w:val="25"/>
        </w:rPr>
        <w:t xml:space="preserve">第十八条 </w:t>
      </w:r>
      <w:r>
        <w:rPr>
          <w:spacing w:val="-23"/>
        </w:rPr>
        <w:t xml:space="preserve">本办法自 </w:t>
      </w:r>
      <w:r>
        <w:rPr>
          <w:spacing w:val="-4"/>
        </w:rPr>
        <w:t>2022</w:t>
      </w:r>
      <w:r>
        <w:rPr>
          <w:spacing w:val="-57"/>
        </w:rPr>
        <w:t xml:space="preserve"> 年 </w:t>
      </w:r>
      <w:r>
        <w:t>6</w:t>
      </w:r>
      <w:r>
        <w:rPr>
          <w:spacing w:val="-58"/>
        </w:rPr>
        <w:t xml:space="preserve"> 月 </w:t>
      </w:r>
      <w:r>
        <w:t>23</w:t>
      </w:r>
      <w:r>
        <w:rPr>
          <w:spacing w:val="-30"/>
        </w:rPr>
        <w:t xml:space="preserve"> 日起施行，有效期三年。</w:t>
      </w:r>
    </w:p>
    <w:p>
      <w:pPr>
        <w:pStyle w:val="3"/>
        <w:spacing w:before="132"/>
        <w:ind w:left="243"/>
      </w:pPr>
      <w:r>
        <w:rPr>
          <w:spacing w:val="-8"/>
        </w:rPr>
        <w:t>《济南市中小微企业转贷引导基金实施办法</w:t>
      </w:r>
      <w:r>
        <w:rPr>
          <w:spacing w:val="-320"/>
        </w:rPr>
        <w:t>（</w:t>
      </w:r>
      <w:r>
        <w:rPr>
          <w:spacing w:val="-8"/>
        </w:rPr>
        <w:t>》济经信中小企业字</w:t>
      </w:r>
    </w:p>
    <w:p>
      <w:pPr>
        <w:pStyle w:val="3"/>
        <w:spacing w:before="149"/>
        <w:ind w:left="243"/>
      </w:pPr>
      <w:r>
        <w:t>〔2017〕5 号）停止执行。</w:t>
      </w:r>
    </w:p>
    <w:p>
      <w:pPr>
        <w:pStyle w:val="3"/>
      </w:pPr>
    </w:p>
    <w:p>
      <w:pPr>
        <w:pStyle w:val="3"/>
        <w:spacing w:before="6"/>
        <w:rPr>
          <w:sz w:val="23"/>
        </w:rPr>
      </w:pPr>
    </w:p>
    <w:p>
      <w:pPr>
        <w:pStyle w:val="3"/>
        <w:ind w:left="871"/>
      </w:pPr>
      <w:r>
        <w:t>附件：中小微企业转贷服务工作推进小组名单</w:t>
      </w:r>
    </w:p>
    <w:p>
      <w:pPr>
        <w:spacing w:after="0"/>
        <w:sectPr>
          <w:pgSz w:w="11910" w:h="16840"/>
          <w:pgMar w:top="1600" w:right="1200" w:bottom="1660" w:left="1400" w:header="0" w:footer="1469" w:gutter="0"/>
          <w:cols w:space="720" w:num="1"/>
        </w:sectPr>
      </w:pPr>
    </w:p>
    <w:p>
      <w:pPr>
        <w:pStyle w:val="3"/>
        <w:spacing w:before="9"/>
        <w:rPr>
          <w:sz w:val="25"/>
        </w:rPr>
      </w:pPr>
    </w:p>
    <w:p>
      <w:pPr>
        <w:pStyle w:val="3"/>
        <w:spacing w:before="56"/>
        <w:ind w:left="244"/>
        <w:rPr>
          <w:rFonts w:hint="eastAsia" w:ascii="黑体" w:eastAsia="黑体"/>
        </w:rPr>
      </w:pPr>
      <w:r>
        <w:rPr>
          <w:rFonts w:hint="eastAsia" w:ascii="黑体" w:eastAsia="黑体"/>
        </w:rPr>
        <w:t>附件</w:t>
      </w:r>
    </w:p>
    <w:p>
      <w:pPr>
        <w:pStyle w:val="3"/>
        <w:rPr>
          <w:rFonts w:ascii="黑体"/>
          <w:sz w:val="20"/>
        </w:rPr>
      </w:pPr>
    </w:p>
    <w:p>
      <w:pPr>
        <w:pStyle w:val="2"/>
        <w:spacing w:before="119"/>
      </w:pPr>
      <w:r>
        <w:t>中小微企业转贷服务工作推进小组名单</w:t>
      </w:r>
    </w:p>
    <w:p>
      <w:pPr>
        <w:pStyle w:val="3"/>
        <w:spacing w:before="6"/>
        <w:rPr>
          <w:rFonts w:ascii="方正小标宋简体"/>
          <w:sz w:val="33"/>
        </w:rPr>
      </w:pPr>
    </w:p>
    <w:p>
      <w:pPr>
        <w:pStyle w:val="3"/>
        <w:tabs>
          <w:tab w:val="left" w:pos="1497"/>
          <w:tab w:val="left" w:pos="2754"/>
          <w:tab w:val="left" w:pos="3378"/>
          <w:tab w:val="left" w:pos="6987"/>
        </w:tabs>
        <w:spacing w:line="340" w:lineRule="auto"/>
        <w:ind w:left="871" w:right="265"/>
      </w:pPr>
      <w:r>
        <w:t>组</w:t>
      </w:r>
      <w:r>
        <w:tab/>
      </w:r>
      <w:r>
        <w:rPr>
          <w:spacing w:val="-6"/>
        </w:rPr>
        <w:t>长：汲</w:t>
      </w:r>
      <w:r>
        <w:rPr>
          <w:spacing w:val="-8"/>
        </w:rPr>
        <w:t>佩</w:t>
      </w:r>
      <w:r>
        <w:t>德</w:t>
      </w:r>
      <w:r>
        <w:tab/>
      </w:r>
      <w:r>
        <w:rPr>
          <w:spacing w:val="-6"/>
        </w:rPr>
        <w:t>市工业</w:t>
      </w:r>
      <w:r>
        <w:rPr>
          <w:spacing w:val="-8"/>
        </w:rPr>
        <w:t>和</w:t>
      </w:r>
      <w:r>
        <w:rPr>
          <w:spacing w:val="-6"/>
        </w:rPr>
        <w:t>信息</w:t>
      </w:r>
      <w:r>
        <w:rPr>
          <w:spacing w:val="-8"/>
        </w:rPr>
        <w:t>化</w:t>
      </w:r>
      <w:r>
        <w:t>局</w:t>
      </w:r>
      <w:r>
        <w:tab/>
      </w:r>
      <w:r>
        <w:rPr>
          <w:spacing w:val="-6"/>
        </w:rPr>
        <w:t>党组书</w:t>
      </w:r>
      <w:r>
        <w:t>记</w:t>
      </w:r>
      <w:r>
        <w:rPr>
          <w:spacing w:val="-8"/>
        </w:rPr>
        <w:t xml:space="preserve"> </w:t>
      </w:r>
      <w:r>
        <w:rPr>
          <w:spacing w:val="-9"/>
        </w:rPr>
        <w:t>局</w:t>
      </w:r>
      <w:r>
        <w:rPr>
          <w:spacing w:val="-13"/>
        </w:rPr>
        <w:t>长</w:t>
      </w:r>
      <w:r>
        <w:rPr>
          <w:spacing w:val="-6"/>
        </w:rPr>
        <w:t>副组</w:t>
      </w:r>
      <w:r>
        <w:rPr>
          <w:spacing w:val="-8"/>
        </w:rPr>
        <w:t>长</w:t>
      </w:r>
      <w:r>
        <w:rPr>
          <w:spacing w:val="-6"/>
        </w:rPr>
        <w:t>：</w:t>
      </w:r>
      <w:r>
        <w:t>徐</w:t>
      </w:r>
      <w:r>
        <w:tab/>
      </w:r>
      <w:r>
        <w:t>磊</w:t>
      </w:r>
      <w:r>
        <w:tab/>
      </w:r>
      <w:r>
        <w:rPr>
          <w:spacing w:val="-6"/>
        </w:rPr>
        <w:t>市工业</w:t>
      </w:r>
      <w:r>
        <w:rPr>
          <w:spacing w:val="-8"/>
        </w:rPr>
        <w:t>和</w:t>
      </w:r>
      <w:r>
        <w:rPr>
          <w:spacing w:val="-6"/>
        </w:rPr>
        <w:t>信息化</w:t>
      </w:r>
      <w:r>
        <w:t>局</w:t>
      </w:r>
      <w:r>
        <w:tab/>
      </w:r>
      <w:r>
        <w:rPr>
          <w:spacing w:val="-5"/>
        </w:rPr>
        <w:t>副局长</w:t>
      </w:r>
    </w:p>
    <w:p>
      <w:pPr>
        <w:pStyle w:val="3"/>
        <w:tabs>
          <w:tab w:val="left" w:pos="2751"/>
          <w:tab w:val="left" w:pos="3376"/>
          <w:tab w:val="left" w:pos="6983"/>
        </w:tabs>
        <w:spacing w:line="338" w:lineRule="auto"/>
        <w:ind w:left="2121" w:right="1050" w:hanging="1"/>
      </w:pPr>
      <w:r>
        <w:rPr>
          <w:spacing w:val="-4"/>
        </w:rPr>
        <w:t>王传</w:t>
      </w:r>
      <w:r>
        <w:t>秋</w:t>
      </w:r>
      <w:r>
        <w:tab/>
      </w:r>
      <w:r>
        <w:rPr>
          <w:spacing w:val="-6"/>
        </w:rPr>
        <w:t>市财政</w:t>
      </w:r>
      <w:r>
        <w:t>局</w:t>
      </w:r>
      <w:r>
        <w:tab/>
      </w:r>
      <w:r>
        <w:rPr>
          <w:spacing w:val="-8"/>
        </w:rPr>
        <w:t xml:space="preserve">副 </w:t>
      </w:r>
      <w:r>
        <w:rPr>
          <w:spacing w:val="-6"/>
        </w:rPr>
        <w:t xml:space="preserve">局 </w:t>
      </w:r>
      <w:r>
        <w:t>长 郦</w:t>
      </w:r>
      <w:r>
        <w:tab/>
      </w:r>
      <w:r>
        <w:t>弘</w:t>
      </w:r>
      <w:r>
        <w:tab/>
      </w:r>
      <w:r>
        <w:rPr>
          <w:spacing w:val="-6"/>
        </w:rPr>
        <w:t>市地方金</w:t>
      </w:r>
      <w:r>
        <w:rPr>
          <w:spacing w:val="-8"/>
        </w:rPr>
        <w:t>融</w:t>
      </w:r>
      <w:r>
        <w:rPr>
          <w:spacing w:val="-6"/>
        </w:rPr>
        <w:t>监督</w:t>
      </w:r>
      <w:r>
        <w:rPr>
          <w:spacing w:val="-8"/>
        </w:rPr>
        <w:t>管</w:t>
      </w:r>
      <w:r>
        <w:rPr>
          <w:spacing w:val="-6"/>
        </w:rPr>
        <w:t>理</w:t>
      </w:r>
      <w:r>
        <w:t>局</w:t>
      </w:r>
      <w:r>
        <w:tab/>
      </w:r>
      <w:r>
        <w:rPr>
          <w:spacing w:val="-6"/>
        </w:rPr>
        <w:t xml:space="preserve">副 局 长 </w:t>
      </w:r>
      <w:r>
        <w:t>王</w:t>
      </w:r>
      <w:r>
        <w:tab/>
      </w:r>
      <w:r>
        <w:t>刚</w:t>
      </w:r>
      <w:r>
        <w:tab/>
      </w:r>
      <w:r>
        <w:rPr>
          <w:spacing w:val="-6"/>
        </w:rPr>
        <w:t>人行济南</w:t>
      </w:r>
      <w:r>
        <w:rPr>
          <w:spacing w:val="-8"/>
        </w:rPr>
        <w:t>分</w:t>
      </w:r>
      <w:r>
        <w:rPr>
          <w:spacing w:val="-6"/>
        </w:rPr>
        <w:t>行营</w:t>
      </w:r>
      <w:r>
        <w:rPr>
          <w:spacing w:val="-8"/>
        </w:rPr>
        <w:t>管</w:t>
      </w:r>
      <w:r>
        <w:t>部</w:t>
      </w:r>
      <w:r>
        <w:tab/>
      </w:r>
      <w:r>
        <w:rPr>
          <w:spacing w:val="-5"/>
        </w:rPr>
        <w:t>工会</w:t>
      </w:r>
      <w:r>
        <w:rPr>
          <w:spacing w:val="-8"/>
        </w:rPr>
        <w:t>主</w:t>
      </w:r>
      <w:r>
        <w:rPr>
          <w:spacing w:val="-13"/>
        </w:rPr>
        <w:t>任</w:t>
      </w:r>
      <w:r>
        <w:rPr>
          <w:spacing w:val="-4"/>
        </w:rPr>
        <w:t>刘登</w:t>
      </w:r>
      <w:r>
        <w:t>振</w:t>
      </w:r>
      <w:r>
        <w:tab/>
      </w:r>
      <w:r>
        <w:rPr>
          <w:spacing w:val="-6"/>
        </w:rPr>
        <w:t>人行莱芜</w:t>
      </w:r>
      <w:r>
        <w:rPr>
          <w:spacing w:val="-8"/>
        </w:rPr>
        <w:t>市</w:t>
      </w:r>
      <w:r>
        <w:rPr>
          <w:spacing w:val="-6"/>
        </w:rPr>
        <w:t>中心</w:t>
      </w:r>
      <w:r>
        <w:rPr>
          <w:spacing w:val="-8"/>
        </w:rPr>
        <w:t>支</w:t>
      </w:r>
      <w:r>
        <w:t>行</w:t>
      </w:r>
      <w:r>
        <w:tab/>
      </w:r>
      <w:r>
        <w:rPr>
          <w:spacing w:val="-5"/>
        </w:rPr>
        <w:t>副行长</w:t>
      </w:r>
    </w:p>
    <w:p>
      <w:pPr>
        <w:pStyle w:val="3"/>
        <w:tabs>
          <w:tab w:val="left" w:pos="1496"/>
          <w:tab w:val="left" w:pos="2749"/>
          <w:tab w:val="left" w:pos="3372"/>
          <w:tab w:val="left" w:pos="6980"/>
        </w:tabs>
        <w:spacing w:before="3" w:line="338" w:lineRule="auto"/>
        <w:ind w:left="2120" w:right="1367" w:hanging="1249"/>
      </w:pPr>
      <w:r>
        <w:t>成</w:t>
      </w:r>
      <w:r>
        <w:tab/>
      </w:r>
      <w:r>
        <w:rPr>
          <w:spacing w:val="-6"/>
        </w:rPr>
        <w:t>员：董</w:t>
      </w:r>
      <w:r>
        <w:rPr>
          <w:spacing w:val="-8"/>
        </w:rPr>
        <w:t>宜</w:t>
      </w:r>
      <w:r>
        <w:t>昌</w:t>
      </w:r>
      <w:r>
        <w:tab/>
      </w:r>
      <w:r>
        <w:rPr>
          <w:spacing w:val="-6"/>
        </w:rPr>
        <w:t>市财政</w:t>
      </w:r>
      <w:r>
        <w:t>局</w:t>
      </w:r>
      <w:r>
        <w:tab/>
      </w:r>
      <w:r>
        <w:rPr>
          <w:spacing w:val="-4"/>
        </w:rPr>
        <w:t xml:space="preserve">处 长 </w:t>
      </w:r>
      <w:r>
        <w:rPr>
          <w:spacing w:val="-6"/>
        </w:rPr>
        <w:t>张志</w:t>
      </w:r>
      <w:r>
        <w:t>鹤</w:t>
      </w:r>
      <w:r>
        <w:tab/>
      </w:r>
      <w:r>
        <w:rPr>
          <w:spacing w:val="-6"/>
        </w:rPr>
        <w:t>市工</w:t>
      </w:r>
      <w:r>
        <w:rPr>
          <w:spacing w:val="-8"/>
        </w:rPr>
        <w:t>业</w:t>
      </w:r>
      <w:r>
        <w:rPr>
          <w:spacing w:val="-6"/>
        </w:rPr>
        <w:t>和信</w:t>
      </w:r>
      <w:r>
        <w:rPr>
          <w:spacing w:val="-8"/>
        </w:rPr>
        <w:t>息</w:t>
      </w:r>
      <w:r>
        <w:rPr>
          <w:spacing w:val="-6"/>
        </w:rPr>
        <w:t>化</w:t>
      </w:r>
      <w:r>
        <w:t>局</w:t>
      </w:r>
      <w:r>
        <w:tab/>
      </w:r>
      <w:r>
        <w:rPr>
          <w:spacing w:val="-5"/>
        </w:rPr>
        <w:t>处 长 任会</w:t>
      </w:r>
      <w:r>
        <w:t>霞</w:t>
      </w:r>
      <w:r>
        <w:tab/>
      </w:r>
      <w:r>
        <w:rPr>
          <w:spacing w:val="-6"/>
        </w:rPr>
        <w:t>市地方金</w:t>
      </w:r>
      <w:r>
        <w:rPr>
          <w:spacing w:val="-8"/>
        </w:rPr>
        <w:t>融</w:t>
      </w:r>
      <w:r>
        <w:rPr>
          <w:spacing w:val="-6"/>
        </w:rPr>
        <w:t>监督</w:t>
      </w:r>
      <w:r>
        <w:rPr>
          <w:spacing w:val="-8"/>
        </w:rPr>
        <w:t>管</w:t>
      </w:r>
      <w:r>
        <w:rPr>
          <w:spacing w:val="-6"/>
        </w:rPr>
        <w:t>理</w:t>
      </w:r>
      <w:r>
        <w:t>局</w:t>
      </w:r>
      <w:r>
        <w:tab/>
      </w:r>
      <w:r>
        <w:rPr>
          <w:spacing w:val="-6"/>
        </w:rPr>
        <w:t xml:space="preserve">处 长 </w:t>
      </w:r>
      <w:r>
        <w:t>孔</w:t>
      </w:r>
      <w:r>
        <w:tab/>
      </w:r>
      <w:r>
        <w:t>源</w:t>
      </w:r>
      <w:r>
        <w:tab/>
      </w:r>
      <w:r>
        <w:rPr>
          <w:spacing w:val="-6"/>
        </w:rPr>
        <w:t>人行济南</w:t>
      </w:r>
      <w:r>
        <w:rPr>
          <w:spacing w:val="-8"/>
        </w:rPr>
        <w:t>分</w:t>
      </w:r>
      <w:r>
        <w:rPr>
          <w:spacing w:val="-6"/>
        </w:rPr>
        <w:t>行营</w:t>
      </w:r>
      <w:r>
        <w:rPr>
          <w:spacing w:val="-8"/>
        </w:rPr>
        <w:t>管</w:t>
      </w:r>
      <w:r>
        <w:t>部</w:t>
      </w:r>
      <w:r>
        <w:tab/>
      </w:r>
      <w:r>
        <w:rPr>
          <w:spacing w:val="-6"/>
        </w:rPr>
        <w:t>调研员</w:t>
      </w:r>
      <w:r>
        <w:t>张</w:t>
      </w:r>
      <w:r>
        <w:tab/>
      </w:r>
      <w:r>
        <w:t>莹</w:t>
      </w:r>
      <w:r>
        <w:tab/>
      </w:r>
      <w:r>
        <w:rPr>
          <w:spacing w:val="-5"/>
        </w:rPr>
        <w:t>人行莱芜</w:t>
      </w:r>
      <w:r>
        <w:rPr>
          <w:spacing w:val="-8"/>
        </w:rPr>
        <w:t>市</w:t>
      </w:r>
      <w:r>
        <w:rPr>
          <w:spacing w:val="-5"/>
        </w:rPr>
        <w:t>中心</w:t>
      </w:r>
      <w:r>
        <w:rPr>
          <w:spacing w:val="-8"/>
        </w:rPr>
        <w:t>支</w:t>
      </w:r>
      <w:r>
        <w:t>行</w:t>
      </w:r>
      <w:r>
        <w:tab/>
      </w:r>
      <w:r>
        <w:rPr>
          <w:spacing w:val="-5"/>
        </w:rPr>
        <w:t xml:space="preserve">科 长 </w:t>
      </w:r>
      <w:r>
        <w:rPr>
          <w:spacing w:val="-6"/>
        </w:rPr>
        <w:t>王业</w:t>
      </w:r>
      <w:r>
        <w:t>农</w:t>
      </w:r>
      <w:r>
        <w:tab/>
      </w:r>
      <w:r>
        <w:rPr>
          <w:spacing w:val="-6"/>
        </w:rPr>
        <w:t>市工</w:t>
      </w:r>
      <w:r>
        <w:rPr>
          <w:spacing w:val="-8"/>
        </w:rPr>
        <w:t>业</w:t>
      </w:r>
      <w:r>
        <w:rPr>
          <w:spacing w:val="-6"/>
        </w:rPr>
        <w:t>和信</w:t>
      </w:r>
      <w:r>
        <w:rPr>
          <w:spacing w:val="-8"/>
        </w:rPr>
        <w:t>息</w:t>
      </w:r>
      <w:r>
        <w:rPr>
          <w:spacing w:val="-6"/>
        </w:rPr>
        <w:t>化</w:t>
      </w:r>
      <w:r>
        <w:t>局</w:t>
      </w:r>
      <w:r>
        <w:tab/>
      </w:r>
      <w:r>
        <w:rPr>
          <w:spacing w:val="-5"/>
        </w:rPr>
        <w:t xml:space="preserve">处 长 </w:t>
      </w:r>
      <w:r>
        <w:rPr>
          <w:spacing w:val="-7"/>
        </w:rPr>
        <w:t>毛明</w:t>
      </w:r>
      <w:r>
        <w:t>辉</w:t>
      </w:r>
      <w:r>
        <w:tab/>
      </w:r>
      <w:r>
        <w:rPr>
          <w:spacing w:val="-7"/>
        </w:rPr>
        <w:t>市中小企业公共服务中</w:t>
      </w:r>
      <w:r>
        <w:t>心</w:t>
      </w:r>
      <w:r>
        <w:rPr>
          <w:spacing w:val="-10"/>
        </w:rPr>
        <w:t xml:space="preserve"> </w:t>
      </w:r>
      <w:r>
        <w:rPr>
          <w:spacing w:val="-7"/>
        </w:rPr>
        <w:t>主任</w:t>
      </w:r>
    </w:p>
    <w:p>
      <w:pPr>
        <w:pStyle w:val="3"/>
        <w:spacing w:before="14" w:line="338" w:lineRule="auto"/>
        <w:ind w:left="244" w:right="268" w:firstLine="627"/>
      </w:pPr>
      <w:r>
        <w:rPr>
          <w:spacing w:val="-7"/>
        </w:rPr>
        <w:t>推进小组主要负责研究制定转贷引导基金管理办法，落实资</w:t>
      </w:r>
      <w:r>
        <w:rPr>
          <w:spacing w:val="-8"/>
        </w:rPr>
        <w:t>金来源，定期听取工作汇报，协调解决运行中的重大问题。</w:t>
      </w:r>
    </w:p>
    <w:p>
      <w:pPr>
        <w:pStyle w:val="3"/>
        <w:spacing w:before="3" w:line="340" w:lineRule="auto"/>
        <w:ind w:left="244" w:right="268" w:firstLine="627"/>
      </w:pPr>
      <w:r>
        <w:rPr>
          <w:spacing w:val="-7"/>
        </w:rPr>
        <w:t>推进小组下设办公室，负责推进小组日常工作，督导落实推进小组决定的各种事项。张志鹤同志兼任办公室主任。</w:t>
      </w:r>
    </w:p>
    <w:p>
      <w:pPr>
        <w:pStyle w:val="3"/>
        <w:spacing w:line="338" w:lineRule="auto"/>
        <w:ind w:left="244" w:right="268" w:firstLine="627"/>
      </w:pPr>
      <w:r>
        <w:rPr>
          <w:spacing w:val="-7"/>
        </w:rPr>
        <w:t>推进小组组成人员如有变动，由该成员单位接任领导自然替补，并由办公室负责通知。</w:t>
      </w:r>
    </w:p>
    <w:p>
      <w:pPr>
        <w:spacing w:after="0" w:line="338" w:lineRule="auto"/>
        <w:sectPr>
          <w:pgSz w:w="11910" w:h="16840"/>
          <w:pgMar w:top="1600" w:right="1200" w:bottom="1660" w:left="1400" w:header="0" w:footer="1469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  <w:bookmarkStart w:id="0" w:name="_GoBack"/>
      <w:bookmarkEnd w:id="0"/>
    </w:p>
    <w:p>
      <w:pPr>
        <w:pStyle w:val="3"/>
        <w:spacing w:before="7"/>
        <w:rPr>
          <w:sz w:val="20"/>
        </w:rPr>
      </w:pPr>
    </w:p>
    <w:p>
      <w:pPr>
        <w:pStyle w:val="3"/>
        <w:spacing w:line="20" w:lineRule="exact"/>
        <w:ind w:left="206"/>
        <w:rPr>
          <w:sz w:val="2"/>
        </w:rPr>
      </w:pPr>
      <w:r>
        <w:rPr>
          <w:sz w:val="2"/>
        </w:rPr>
        <w:pict>
          <v:group id="_x0000_s1044" o:spid="_x0000_s1044" o:spt="203" style="height:1pt;width:442.2pt;" coordsize="8844,20">
            <o:lock v:ext="edit"/>
            <v:line id="_x0000_s1045" o:spid="_x0000_s1045" o:spt="20" style="position:absolute;left:0;top:10;height:0;width:8844;" stroked="t" coordsize="21600,21600">
              <v:path arrowok="t"/>
              <v:fill focussize="0,0"/>
              <v:stroke weight="1pt"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3"/>
        <w:spacing w:before="6"/>
        <w:rPr>
          <w:sz w:val="6"/>
        </w:rPr>
      </w:pPr>
    </w:p>
    <w:p>
      <w:pPr>
        <w:tabs>
          <w:tab w:val="left" w:pos="6036"/>
        </w:tabs>
        <w:spacing w:before="60"/>
        <w:ind w:left="558" w:right="0" w:firstLine="0"/>
        <w:jc w:val="left"/>
        <w:rPr>
          <w:sz w:val="28"/>
        </w:rPr>
      </w:pPr>
      <w:r>
        <w:pict>
          <v:line id="_x0000_s1046" o:spid="_x0000_s1046" o:spt="20" style="position:absolute;left:0pt;margin-left:81.75pt;margin-top:21.9pt;height:0pt;width:442.2pt;mso-position-horizontal-relative:page;mso-wrap-distance-bottom:0pt;mso-wrap-distance-top:0pt;z-index:-251649024;mso-width-relative:page;mso-height-relative:page;" stroked="t" coordsize="21600,21600">
            <v:path arrowok="t"/>
            <v:fill focussize="0,0"/>
            <v:stroke weight="1pt" color="#000000"/>
            <v:imagedata o:title=""/>
            <o:lock v:ext="edit"/>
            <w10:wrap type="topAndBottom"/>
          </v:line>
        </w:pict>
      </w:r>
      <w:r>
        <w:rPr>
          <w:spacing w:val="-6"/>
          <w:sz w:val="28"/>
        </w:rPr>
        <w:t>济南市工业和信息化</w:t>
      </w:r>
      <w:r>
        <w:rPr>
          <w:sz w:val="28"/>
        </w:rPr>
        <w:t>局</w:t>
      </w:r>
      <w:r>
        <w:rPr>
          <w:sz w:val="28"/>
        </w:rPr>
        <w:tab/>
      </w:r>
      <w:r>
        <w:rPr>
          <w:spacing w:val="-3"/>
          <w:sz w:val="28"/>
        </w:rPr>
        <w:t>2022</w:t>
      </w:r>
      <w:r>
        <w:rPr>
          <w:spacing w:val="-76"/>
          <w:sz w:val="28"/>
        </w:rPr>
        <w:t xml:space="preserve"> </w:t>
      </w:r>
      <w:r>
        <w:rPr>
          <w:sz w:val="28"/>
        </w:rPr>
        <w:t>年</w:t>
      </w:r>
      <w:r>
        <w:rPr>
          <w:spacing w:val="-77"/>
          <w:sz w:val="28"/>
        </w:rPr>
        <w:t xml:space="preserve"> </w:t>
      </w:r>
      <w:r>
        <w:rPr>
          <w:sz w:val="28"/>
        </w:rPr>
        <w:t>6</w:t>
      </w:r>
      <w:r>
        <w:rPr>
          <w:spacing w:val="-76"/>
          <w:sz w:val="28"/>
        </w:rPr>
        <w:t xml:space="preserve"> </w:t>
      </w:r>
      <w:r>
        <w:rPr>
          <w:sz w:val="28"/>
        </w:rPr>
        <w:t>月</w:t>
      </w:r>
      <w:r>
        <w:rPr>
          <w:spacing w:val="-77"/>
          <w:sz w:val="28"/>
        </w:rPr>
        <w:t xml:space="preserve"> </w:t>
      </w:r>
      <w:r>
        <w:rPr>
          <w:sz w:val="28"/>
        </w:rPr>
        <w:t>21</w:t>
      </w:r>
      <w:r>
        <w:rPr>
          <w:spacing w:val="-76"/>
          <w:sz w:val="28"/>
        </w:rPr>
        <w:t xml:space="preserve"> </w:t>
      </w:r>
      <w:r>
        <w:rPr>
          <w:spacing w:val="-7"/>
          <w:sz w:val="28"/>
        </w:rPr>
        <w:t>日印</w:t>
      </w:r>
      <w:r>
        <w:rPr>
          <w:sz w:val="28"/>
        </w:rPr>
        <w:t>发</w:t>
      </w:r>
    </w:p>
    <w:p>
      <w:pPr>
        <w:pStyle w:val="3"/>
        <w:spacing w:before="12"/>
        <w:rPr>
          <w:sz w:val="8"/>
        </w:rPr>
      </w:pPr>
    </w:p>
    <w:sectPr>
      <w:pgSz w:w="11910" w:h="16840"/>
      <w:pgMar w:top="1600" w:right="1200" w:bottom="1660" w:left="1400" w:header="0" w:footer="14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472.75pt;margin-top:757.5pt;height:17.5pt;width:37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48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93.95pt;margin-top:757.5pt;height:17.5pt;width:37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48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Y2Q3MTVmZjljMTViYTQ3MzE4NjIyOWZhZTQyOGIyYWEifQ=="/>
  </w:docVars>
  <w:rsids>
    <w:rsidRoot w:val="00000000"/>
    <w:rsid w:val="0C1639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949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1026"/>
    <customShpInfo spid="_x0000_s1027"/>
    <customShpInfo spid="_x0000_s1029"/>
    <customShpInfo spid="_x0000_s1030"/>
    <customShpInfo spid="_x0000_s1028"/>
    <customShpInfo spid="_x0000_s1032"/>
    <customShpInfo spid="_x0000_s1033"/>
    <customShpInfo spid="_x0000_s1031"/>
    <customShpInfo spid="_x0000_s1035"/>
    <customShpInfo spid="_x0000_s1036"/>
    <customShpInfo spid="_x0000_s1037"/>
    <customShpInfo spid="_x0000_s1034"/>
    <customShpInfo spid="_x0000_s1039"/>
    <customShpInfo spid="_x0000_s1040"/>
    <customShpInfo spid="_x0000_s1038"/>
    <customShpInfo spid="_x0000_s1042"/>
    <customShpInfo spid="_x0000_s1043"/>
    <customShpInfo spid="_x0000_s1041"/>
    <customShpInfo spid="_x0000_s1045"/>
    <customShpInfo spid="_x0000_s1044"/>
    <customShpInfo spid="_x0000_s104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2665</Words>
  <Characters>2751</Characters>
  <TotalTime>1</TotalTime>
  <ScaleCrop>false</ScaleCrop>
  <LinksUpToDate>false</LinksUpToDate>
  <CharactersWithSpaces>2911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2022-10-31T01:49:00Z</dcterms:created>
  <dc:creator>Administrator</dc:creator>
  <cp:lastModifiedBy>yizhou</cp:lastModifiedBy>
  <dcterms:modified xsi:type="dcterms:W3CDTF">2022-10-31T01:51:00Z</dcterms:modified>
  <dc:title>&lt;4D6963726F736F667420576F7264202D20BCC3B9A4D0C5B7FECEF1CCE5CFB5D7D6A1B232303232A1B331BAC55F35CDB75F2E646F63&gt;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2022-10-31T00:00:00Z</vt:filetime>
  </property>
  <property fmtid="{D5CDD505-2E9C-101B-9397-08002B2CF9AE}" pid="5" name="KSOProductBuildVer">
    <vt:lpwstr>2052-11.1.0.12598</vt:lpwstr>
  </property>
  <property fmtid="{D5CDD505-2E9C-101B-9397-08002B2CF9AE}" pid="6" name="ICV">
    <vt:lpwstr>00CA582ECB96481FA3CD4B95049B3DD8</vt:lpwstr>
  </property>
</Properties>
</file>