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th-TH"/>
        </w:rPr>
        <w:t>2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年济南市“双千兆”应用创新示范项目</w:t>
      </w:r>
    </w:p>
    <w:p>
      <w:pPr>
        <w:tabs>
          <w:tab w:val="left" w:pos="522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黑体" w:eastAsia="黑体"/>
          <w:color w:val="000000"/>
          <w:sz w:val="32"/>
        </w:rPr>
        <w:t>项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目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名</w:t>
      </w:r>
      <w:r>
        <w:rPr>
          <w:rFonts w:ascii="Times New Roman" w:hAnsi="Times New Roman" w:eastAsia="黑体"/>
          <w:color w:val="000000"/>
          <w:sz w:val="32"/>
        </w:rPr>
        <w:t xml:space="preserve">    </w:t>
      </w:r>
      <w:r>
        <w:rPr>
          <w:rFonts w:ascii="Times New Roman" w:hAnsi="黑体" w:eastAsia="黑体"/>
          <w:color w:val="000000"/>
          <w:sz w:val="32"/>
        </w:rPr>
        <w:t>称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推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荐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期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  <w:r>
        <w:rPr>
          <w:rFonts w:hint="eastAsia" w:ascii="Times New Roman" w:hAnsi="Times New Roman" w:eastAsia="黑体"/>
          <w:color w:val="000000"/>
          <w:sz w:val="32"/>
          <w:u w:val="single"/>
        </w:rPr>
        <w:t xml:space="preserve">  </w:t>
      </w: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Times New Roman" w:hAnsi="黑体" w:eastAsia="黑体"/>
          <w:color w:val="000000"/>
          <w:sz w:val="40"/>
          <w:szCs w:val="4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Times New Roman" w:hAnsi="黑体" w:eastAsia="黑体"/>
          <w:color w:val="000000"/>
          <w:sz w:val="40"/>
          <w:szCs w:val="40"/>
        </w:rPr>
        <w:t>济南市</w:t>
      </w:r>
      <w:r>
        <w:rPr>
          <w:rFonts w:ascii="Times New Roman" w:hAnsi="黑体" w:eastAsia="黑体"/>
          <w:color w:val="000000"/>
          <w:sz w:val="40"/>
          <w:szCs w:val="40"/>
        </w:rPr>
        <w:t>工业和信息</w:t>
      </w:r>
      <w:r>
        <w:rPr>
          <w:rFonts w:hint="eastAsia" w:ascii="Times New Roman" w:hAnsi="黑体" w:eastAsia="黑体"/>
          <w:color w:val="000000"/>
          <w:sz w:val="40"/>
          <w:szCs w:val="40"/>
        </w:rPr>
        <w:t>化局</w:t>
      </w:r>
      <w:r>
        <w:rPr>
          <w:rFonts w:ascii="Times New Roman" w:hAnsi="黑体" w:eastAsia="黑体"/>
          <w:color w:val="000000"/>
          <w:sz w:val="40"/>
          <w:szCs w:val="40"/>
        </w:rPr>
        <w:t>编制</w:t>
      </w:r>
    </w:p>
    <w:p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申报单位责任声明</w:t>
      </w:r>
    </w:p>
    <w:p>
      <w:pPr>
        <w:pStyle w:val="2"/>
        <w:spacing w:line="600" w:lineRule="exact"/>
        <w:rPr>
          <w:color w:val="000000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根据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zh-CN"/>
        </w:rPr>
        <w:t>《关于征集2023年济南市“双千兆”应用创新示范项目的通知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》要求，我单位提交了项目参评，郑重做出如下承诺：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1.我单位对提供的申报项目全部资料的真实性、合法性、完整性、准确性负责。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2.我单位申报项目内容符合国家有关法律法规及相关产业政策要求。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3.我单位企业信用状况良好，未被列入失信联合惩戒对象名单。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4．我单位不属于《关于建立财政涉企资金“绿色门槛”制度的实施意见》（鲁财资环〔2019〕11号）规定的不予支持范围。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5.我单位一年内未发生较大及以上生产安全责任事故,或一年内不超过3起及以上造成人员死亡的一般生产安全责任事故,无瞒报、谎报、迟报生产安全事故等行为。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6.我单位对所提交的项目内容负有保密责任，按照国家相关保密规定，所提交的项目内容未涉及国家秘密、个人信息和其他敏感信息。</w:t>
      </w:r>
    </w:p>
    <w:p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我单位对违反上述声明导致的后果承担全部法律责任。</w:t>
      </w:r>
    </w:p>
    <w:p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法定代表人：（签字）</w:t>
      </w:r>
    </w:p>
    <w:p>
      <w:pPr>
        <w:spacing w:line="600" w:lineRule="exact"/>
        <w:ind w:firstLine="4320" w:firstLineChars="135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公司（企业盖章）</w:t>
      </w:r>
    </w:p>
    <w:p>
      <w:pPr>
        <w:spacing w:line="600" w:lineRule="exact"/>
        <w:ind w:right="1280" w:firstLine="640" w:firstLineChars="200"/>
        <w:jc w:val="center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 xml:space="preserve">                    二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二三年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 xml:space="preserve">  月  日</w:t>
      </w:r>
    </w:p>
    <w:p>
      <w:pPr>
        <w:snapToGrid w:val="0"/>
        <w:spacing w:line="60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一、企业及项目基本信息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9"/>
        <w:gridCol w:w="639"/>
        <w:gridCol w:w="1321"/>
        <w:gridCol w:w="359"/>
        <w:gridCol w:w="90"/>
        <w:gridCol w:w="1605"/>
        <w:gridCol w:w="71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企业名称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企业所属国民经济行业分类名称及代码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统一社会信用代码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成立时间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企业性质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□国有 □民营 □三资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注册资本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企业地址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法定代表人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联系人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传真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E-mail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总资产（万元）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负债率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年销售收入</w:t>
            </w:r>
          </w:p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（万元）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年销售收入（万元）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年净利润（万元）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年净利润（万元）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9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年企业人数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ascii="方正仿宋_GB2312" w:hAnsi="方正仿宋_GB2312" w:eastAsia="方正仿宋_GB2312" w:cs="方正仿宋_GB2312"/>
                <w:sz w:val="24"/>
                <w:szCs w:val="24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年企业人数</w:t>
            </w:r>
          </w:p>
        </w:tc>
        <w:tc>
          <w:tcPr>
            <w:tcW w:w="1628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企业简介</w:t>
            </w:r>
          </w:p>
        </w:tc>
        <w:tc>
          <w:tcPr>
            <w:tcW w:w="7780" w:type="dxa"/>
            <w:gridSpan w:val="8"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（发展历程、主营业务、市场销售、行业等方面基本情况，不超过400字）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项目名称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应用领域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1.信息消费。</w:t>
            </w:r>
          </w:p>
          <w:p>
            <w:pPr>
              <w:snapToGrid w:val="0"/>
              <w:spacing w:line="600" w:lineRule="exact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2.数字化转型。</w:t>
            </w:r>
          </w:p>
          <w:p>
            <w:pPr>
              <w:snapToGrid w:val="0"/>
              <w:spacing w:line="600" w:lineRule="exact"/>
              <w:rPr>
                <w:rFonts w:ascii="仿宋_GB2312" w:hAnsi="方正仿宋_GB2312" w:eastAsia="仿宋_GB2312" w:cs="方正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3.民生领域。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</w:t>
            </w:r>
          </w:p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简述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（包括项目与5G/千兆光网的关联程度，使用的5G终端数量/千兆终端数量等，通过量化指标进行描述，不超过500字）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起止日期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0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月—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righ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项目投资额（万元）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建设状态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48" w:beforeLines="20"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□在建                 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8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稳定下载速率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MB/S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240" w:type="dxa"/>
            <w:gridSpan w:val="9"/>
          </w:tcPr>
          <w:p>
            <w:pPr>
              <w:snapToGrid w:val="0"/>
              <w:spacing w:line="600" w:lineRule="exac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区县工信部门审核意见：</w:t>
            </w:r>
          </w:p>
          <w:p>
            <w:pPr>
              <w:snapToGrid w:val="0"/>
              <w:spacing w:line="600" w:lineRule="exact"/>
              <w:ind w:firstLine="4080" w:firstLineChars="17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ind w:firstLine="4080" w:firstLineChars="17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（区县工信部门盖章）</w:t>
            </w:r>
          </w:p>
          <w:p>
            <w:pPr>
              <w:snapToGrid w:val="0"/>
              <w:spacing w:line="600" w:lineRule="exact"/>
              <w:ind w:firstLine="4680" w:firstLineChars="195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4" w:type="default"/>
          <w:type w:val="nextColumn"/>
          <w:pgSz w:w="11906" w:h="16838"/>
          <w:pgMar w:top="1418" w:right="1418" w:bottom="1418" w:left="1418" w:header="851" w:footer="992" w:gutter="0"/>
          <w:pgNumType w:start="1"/>
          <w:cols w:space="720" w:num="1"/>
          <w:docGrid w:linePitch="312" w:charSpace="0"/>
        </w:sectPr>
      </w:pPr>
    </w:p>
    <w:p>
      <w:pPr>
        <w:snapToGrid w:val="0"/>
        <w:spacing w:line="520" w:lineRule="exact"/>
        <w:ind w:firstLine="563" w:firstLineChars="176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二、项目方案及完成情况报告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（一）项目情况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1.项目概述；（500字左右）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2.项目实施的创新性与先进性（技术创新、模式创新及相关知识产权）；（2000字左右）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3.项目实施的可推广性（示范意义及推广价值、推广可行性、推广范围）。（2000字左右）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（二）项目实施现状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1.项目实施主体及适用场景；（1000字左右）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2.项目方案及实施情况（详细介绍项目方案，包括项目设计、体制机制、工作方法、功能特色等。明确说明申报项目的方案是否具备接受第三方测试验证的条件。（6000字左右）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（三）项目成效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在降本提质增效，推动产业高质量发展等方面的经济和社会效益。（2000字左右）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（四）下一步计划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项目下一步发展的主要内容和实施计划，发展预期目标，包括技术指标和经济指标。（1000字左右）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（五）项目完成情况</w:t>
      </w:r>
    </w:p>
    <w:p>
      <w:pPr>
        <w:widowControl/>
        <w:snapToGrid w:val="0"/>
        <w:spacing w:line="520" w:lineRule="exact"/>
        <w:ind w:firstLine="640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资金、人员、设备投入情况；使用、测试、验证、应用情况；项目与5G、千兆光网技术关联程度说明（明确的量化指标）。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（六）相关附件</w:t>
      </w:r>
    </w:p>
    <w:p>
      <w:pPr>
        <w:widowControl/>
        <w:snapToGrid w:val="0"/>
        <w:spacing w:line="520" w:lineRule="exact"/>
        <w:ind w:firstLine="640" w:firstLineChars="200"/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企业和项目基本信息表中提到的证明材料，包含但不仅限于企业专利、上年度财务审计报告及其他认为可验证项目成果的材料等。以上证明材料需提供复印件并加盖单位公章。</w:t>
      </w:r>
    </w:p>
    <w:p/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6CC22FAC"/>
    <w:rsid w:val="4D0701A1"/>
    <w:rsid w:val="6CC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1254</Words>
  <Characters>1331</Characters>
  <Lines>0</Lines>
  <Paragraphs>0</Paragraphs>
  <TotalTime>0</TotalTime>
  <ScaleCrop>false</ScaleCrop>
  <LinksUpToDate>false</LinksUpToDate>
  <CharactersWithSpaces>1552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2023-04-17T09:35:00Z</dcterms:created>
  <dc:creator>特特</dc:creator>
  <cp:lastModifiedBy>特特</cp:lastModifiedBy>
  <dcterms:modified xsi:type="dcterms:W3CDTF">2023-04-18T01:24:33Z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EF63884E3EB9478586DCF3C930434A60_11</vt:lpwstr>
  </property>
</Properties>
</file>