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16BB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32"/>
          <w:szCs w:val="32"/>
        </w:rPr>
      </w:pPr>
      <w:r>
        <w:rPr>
          <w:rFonts w:hint="eastAsia" w:ascii="黑体" w:hAnsi="黑体" w:eastAsia="黑体" w:cs="黑体"/>
          <w:sz w:val="32"/>
          <w:szCs w:val="32"/>
        </w:rPr>
        <w:t>JNCR-2024-0040001</w:t>
      </w:r>
    </w:p>
    <w:p w14:paraId="6A15AE04">
      <w:pPr>
        <w:spacing w:line="400" w:lineRule="exact"/>
        <w:rPr>
          <w:rFonts w:hint="eastAsia"/>
          <w:color w:val="000000"/>
        </w:rPr>
      </w:pPr>
    </w:p>
    <w:p w14:paraId="5F314335">
      <w:pPr>
        <w:spacing w:line="400" w:lineRule="exact"/>
        <w:rPr>
          <w:rFonts w:hint="eastAsia"/>
          <w:color w:val="000000"/>
        </w:rPr>
      </w:pPr>
    </w:p>
    <w:p w14:paraId="0904DE3D">
      <w:pPr>
        <w:adjustRightInd w:val="0"/>
        <w:snapToGrid w:val="0"/>
        <w:spacing w:line="1400" w:lineRule="exact"/>
        <w:ind w:left="-314" w:leftChars="-100" w:right="-314" w:rightChars="-100"/>
        <w:jc w:val="center"/>
        <w:rPr>
          <w:rFonts w:hint="eastAsia" w:ascii="方正大标宋简体" w:eastAsia="方正大标宋简体"/>
          <w:color w:val="FF0000"/>
          <w:w w:val="60"/>
          <w:sz w:val="126"/>
          <w:szCs w:val="126"/>
        </w:rPr>
      </w:pPr>
      <w:r>
        <w:rPr>
          <w:rFonts w:hint="eastAsia" w:ascii="方正大标宋简体" w:eastAsia="方正大标宋简体"/>
          <w:color w:val="FF0000"/>
          <w:spacing w:val="-12"/>
          <w:w w:val="60"/>
          <w:sz w:val="126"/>
          <w:szCs w:val="126"/>
        </w:rPr>
        <w:t>济南市工业和信息化局文</w:t>
      </w:r>
      <w:r>
        <w:rPr>
          <w:rFonts w:hint="eastAsia" w:ascii="方正大标宋简体" w:eastAsia="方正大标宋简体"/>
          <w:color w:val="FF0000"/>
          <w:w w:val="60"/>
          <w:sz w:val="126"/>
          <w:szCs w:val="126"/>
        </w:rPr>
        <w:t>件</w:t>
      </w:r>
    </w:p>
    <w:p w14:paraId="17FAA4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rPr>
      </w:pPr>
    </w:p>
    <w:p w14:paraId="71CC72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rPr>
      </w:pPr>
    </w:p>
    <w:p w14:paraId="24463D26">
      <w:pPr>
        <w:spacing w:line="620" w:lineRule="exact"/>
        <w:jc w:val="center"/>
        <w:rPr>
          <w:rFonts w:hint="eastAsia"/>
          <w:color w:val="000000"/>
        </w:rPr>
      </w:pPr>
      <w:r>
        <w:rPr>
          <w:rFonts w:hint="eastAsia"/>
          <w:color w:val="000000"/>
        </w:rPr>
        <w:t>济工信</w:t>
      </w:r>
      <w:r>
        <w:rPr>
          <w:rFonts w:hint="eastAsia" w:ascii="微软雅黑" w:hAnsi="微软雅黑"/>
          <w:color w:val="000000"/>
        </w:rPr>
        <w:t>绿发</w:t>
      </w:r>
      <w:r>
        <w:rPr>
          <w:rFonts w:hint="eastAsia"/>
          <w:color w:val="000000"/>
        </w:rPr>
        <w:t>字</w:t>
      </w:r>
      <w:r>
        <w:rPr>
          <w:rFonts w:hint="eastAsia" w:ascii="仿宋_GB2312" w:hAnsi="仿宋" w:cs="仿宋"/>
          <w:color w:val="000000"/>
        </w:rPr>
        <w:t>〔202</w:t>
      </w:r>
      <w:r>
        <w:rPr>
          <w:rFonts w:hint="eastAsia" w:ascii="仿宋_GB2312" w:hAnsi="仿宋" w:cs="仿宋"/>
          <w:color w:val="000000"/>
          <w:lang w:val="en-US" w:eastAsia="zh-CN"/>
        </w:rPr>
        <w:t>4</w:t>
      </w:r>
      <w:r>
        <w:rPr>
          <w:rFonts w:hint="eastAsia" w:ascii="仿宋_GB2312" w:hAnsi="仿宋" w:cs="仿宋"/>
          <w:color w:val="000000"/>
        </w:rPr>
        <w:t>〕1</w:t>
      </w:r>
      <w:r>
        <w:rPr>
          <w:rFonts w:hint="eastAsia" w:ascii="仿宋_GB2312" w:hAnsi="仿宋" w:cs="仿宋"/>
          <w:color w:val="000000"/>
          <w:lang w:val="en-US" w:eastAsia="zh-CN"/>
        </w:rPr>
        <w:t>7</w:t>
      </w:r>
      <w:r>
        <w:rPr>
          <w:rFonts w:hint="eastAsia" w:ascii="仿宋_GB2312" w:hAnsi="仿宋" w:cs="仿宋"/>
          <w:color w:val="000000"/>
        </w:rPr>
        <w:t>号</w:t>
      </w:r>
    </w:p>
    <w:p w14:paraId="14F91437">
      <w:pPr>
        <w:spacing w:line="620" w:lineRule="exact"/>
        <w:jc w:val="center"/>
        <w:rPr>
          <w:rFonts w:hint="eastAsia"/>
          <w:color w:val="000000"/>
        </w:rPr>
      </w:pPr>
      <w: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73025</wp:posOffset>
                </wp:positionV>
                <wp:extent cx="5615940" cy="0"/>
                <wp:effectExtent l="0" t="6350" r="0" b="6350"/>
                <wp:wrapNone/>
                <wp:docPr id="9" name="直线 2"/>
                <wp:cNvGraphicFramePr/>
                <a:graphic xmlns:a="http://schemas.openxmlformats.org/drawingml/2006/main">
                  <a:graphicData uri="http://schemas.microsoft.com/office/word/2010/wordprocessingShape">
                    <wps:wsp>
                      <wps:cNvCnPr/>
                      <wps:spPr>
                        <a:xfrm>
                          <a:off x="1026795" y="4003675"/>
                          <a:ext cx="561594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35pt;margin-top:5.75pt;height:0pt;width:442.2pt;z-index:251663360;mso-width-relative:page;mso-height-relative:page;" filled="f" stroked="t" coordsize="21600,21600" o:gfxdata="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qY7ddYAAAAIAQAADwAAAAAAAAABACAAAAAiAAAAZHJzL2Rvd25yZXYueG1s&#10;UEsBAhQAFAAAAAgAh07iQG00Jk76AQAA6AMAAA4AAAAAAAAAAQAgAAAAJQEAAGRycy9lMm9Eb2Mu&#10;eG1sUEsFBgAAAAAGAAYAWQEAAJEFAAAAAA==&#10;">
                <v:fill on="f" focussize="0,0"/>
                <v:stroke weight="1pt" color="#FF0000" joinstyle="round"/>
                <v:imagedata o:title=""/>
                <o:lock v:ext="edit" aspectratio="f"/>
              </v:line>
            </w:pict>
          </mc:Fallback>
        </mc:AlternateContent>
      </w:r>
    </w:p>
    <w:p w14:paraId="327715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rPr>
      </w:pPr>
    </w:p>
    <w:p w14:paraId="4F77CAB5">
      <w:pPr>
        <w:keepNext w:val="0"/>
        <w:keepLines w:val="0"/>
        <w:pageBreakBefore w:val="0"/>
        <w:widowControl/>
        <w:kinsoku/>
        <w:wordWrap/>
        <w:overflowPunct/>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济南市工业和信息化局</w:t>
      </w:r>
    </w:p>
    <w:p w14:paraId="304A405A">
      <w:pPr>
        <w:keepNext w:val="0"/>
        <w:keepLines w:val="0"/>
        <w:pageBreakBefore w:val="0"/>
        <w:widowControl/>
        <w:kinsoku/>
        <w:wordWrap/>
        <w:overflowPunct/>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关于印发《济南市绿色制造单位培育认定</w:t>
      </w:r>
    </w:p>
    <w:p w14:paraId="6D554308">
      <w:pPr>
        <w:keepNext w:val="0"/>
        <w:keepLines w:val="0"/>
        <w:pageBreakBefore w:val="0"/>
        <w:widowControl/>
        <w:kinsoku/>
        <w:wordWrap/>
        <w:overflowPunct/>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及管理暂行办法》的通知</w:t>
      </w:r>
    </w:p>
    <w:p w14:paraId="5990CBC7">
      <w:pPr>
        <w:spacing w:line="600" w:lineRule="exact"/>
        <w:jc w:val="center"/>
        <w:rPr>
          <w:rFonts w:ascii="Times New Roman" w:hAnsi="Times New Roman" w:eastAsia="方正小标宋简体" w:cs="Times New Roman"/>
          <w:sz w:val="44"/>
          <w:szCs w:val="52"/>
        </w:rPr>
      </w:pPr>
    </w:p>
    <w:p w14:paraId="6E311A91">
      <w:pPr>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各区县（功能区）工信部门，各有关单位：</w:t>
      </w:r>
    </w:p>
    <w:p w14:paraId="74DE334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现将《济南市绿色制造单位培育认定及管理暂行办法》印发给你们，请认真遵照执行。</w:t>
      </w:r>
    </w:p>
    <w:p w14:paraId="3290ED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rPr>
      </w:pPr>
      <w:bookmarkStart w:id="0" w:name="_GoBack"/>
      <w:bookmarkEnd w:id="0"/>
    </w:p>
    <w:p w14:paraId="23289C08">
      <w:pPr>
        <w:spacing w:line="560" w:lineRule="exact"/>
        <w:ind w:firstLine="3925" w:firstLineChars="1250"/>
        <w:jc w:val="left"/>
        <w:rPr>
          <w:rFonts w:hint="eastAsia" w:ascii="仿宋" w:hAnsi="仿宋" w:eastAsia="仿宋" w:cs="仿宋"/>
          <w:color w:val="000000"/>
        </w:rPr>
      </w:pPr>
    </w:p>
    <w:p w14:paraId="01C88E4B">
      <w:pPr>
        <w:spacing w:line="560" w:lineRule="exact"/>
        <w:ind w:firstLine="3925" w:firstLineChars="1250"/>
        <w:jc w:val="left"/>
        <w:rPr>
          <w:rFonts w:hint="eastAsia" w:ascii="仿宋" w:hAnsi="仿宋" w:eastAsia="仿宋" w:cs="仿宋"/>
          <w:color w:val="000000"/>
        </w:rPr>
      </w:pPr>
    </w:p>
    <w:p w14:paraId="2A5619AD">
      <w:pPr>
        <w:wordWrap w:val="0"/>
        <w:adjustRightInd w:val="0"/>
        <w:snapToGrid w:val="0"/>
        <w:spacing w:line="580" w:lineRule="exact"/>
        <w:jc w:val="right"/>
        <w:rPr>
          <w:rFonts w:hint="eastAsia" w:ascii="仿宋_GB2312" w:hAnsi="仿宋" w:cs="仿宋"/>
          <w:color w:val="000000"/>
        </w:rPr>
      </w:pPr>
      <w:r>
        <w:rPr>
          <w:rFonts w:hint="eastAsia" w:ascii="仿宋_GB2312" w:hAnsi="仿宋" w:cs="仿宋"/>
          <w:color w:val="000000"/>
        </w:rPr>
        <w:t xml:space="preserve">济南市工业和信息化局      </w:t>
      </w:r>
    </w:p>
    <w:p w14:paraId="6CEA737D">
      <w:pPr>
        <w:wordWrap w:val="0"/>
        <w:adjustRightInd w:val="0"/>
        <w:snapToGrid w:val="0"/>
        <w:spacing w:line="580" w:lineRule="exact"/>
        <w:jc w:val="right"/>
        <w:rPr>
          <w:rFonts w:hint="eastAsia" w:ascii="仿宋_GB2312" w:hAnsi="仿宋" w:cs="仿宋"/>
          <w:color w:val="000000"/>
        </w:rPr>
      </w:pPr>
      <w:r>
        <w:rPr>
          <w:rFonts w:hint="eastAsia" w:ascii="仿宋_GB2312" w:hAnsi="仿宋" w:cs="仿宋"/>
          <w:color w:val="000000"/>
        </w:rPr>
        <w:t>202</w:t>
      </w:r>
      <w:r>
        <w:rPr>
          <w:rFonts w:hint="eastAsia" w:ascii="仿宋_GB2312" w:hAnsi="仿宋" w:cs="仿宋"/>
          <w:color w:val="000000"/>
          <w:lang w:val="en-US" w:eastAsia="zh-CN"/>
        </w:rPr>
        <w:t>4</w:t>
      </w:r>
      <w:r>
        <w:rPr>
          <w:rFonts w:hint="eastAsia" w:ascii="仿宋_GB2312" w:hAnsi="仿宋" w:cs="仿宋"/>
          <w:color w:val="000000"/>
        </w:rPr>
        <w:t>年</w:t>
      </w:r>
      <w:r>
        <w:rPr>
          <w:rFonts w:hint="eastAsia" w:ascii="仿宋_GB2312" w:hAnsi="仿宋" w:cs="仿宋"/>
          <w:color w:val="000000"/>
          <w:lang w:val="en-US" w:eastAsia="zh-CN"/>
        </w:rPr>
        <w:t>10</w:t>
      </w:r>
      <w:r>
        <w:rPr>
          <w:rFonts w:hint="eastAsia" w:ascii="仿宋_GB2312" w:hAnsi="仿宋" w:cs="仿宋"/>
          <w:color w:val="000000"/>
        </w:rPr>
        <w:t>月</w:t>
      </w:r>
      <w:r>
        <w:rPr>
          <w:rFonts w:hint="eastAsia" w:ascii="仿宋_GB2312" w:hAnsi="仿宋" w:cs="仿宋"/>
          <w:color w:val="000000"/>
          <w:lang w:val="en-US" w:eastAsia="zh-CN"/>
        </w:rPr>
        <w:t>26</w:t>
      </w:r>
      <w:r>
        <w:rPr>
          <w:rFonts w:hint="eastAsia" w:ascii="仿宋_GB2312" w:hAnsi="仿宋" w:cs="仿宋"/>
          <w:color w:val="000000"/>
        </w:rPr>
        <w:t xml:space="preserve">日        </w:t>
      </w:r>
    </w:p>
    <w:p w14:paraId="41E372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rPr>
      </w:pPr>
    </w:p>
    <w:p w14:paraId="72DD57C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（此件公开发布）</w:t>
      </w:r>
    </w:p>
    <w:p w14:paraId="2B6D187E">
      <w:pPr>
        <w:keepNext w:val="0"/>
        <w:keepLines w:val="0"/>
        <w:pageBreakBefore w:val="0"/>
        <w:widowControl/>
        <w:kinsoku/>
        <w:wordWrap/>
        <w:overflowPunct/>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kern w:val="0"/>
          <w:sz w:val="44"/>
          <w:szCs w:val="44"/>
        </w:rPr>
      </w:pPr>
    </w:p>
    <w:p w14:paraId="6D22F98A">
      <w:pPr>
        <w:keepNext w:val="0"/>
        <w:keepLines w:val="0"/>
        <w:pageBreakBefore w:val="0"/>
        <w:widowControl/>
        <w:kinsoku/>
        <w:wordWrap/>
        <w:overflowPunct/>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济南市绿色制造单位培育认定</w:t>
      </w:r>
    </w:p>
    <w:p w14:paraId="216A33F9">
      <w:pPr>
        <w:keepNext w:val="0"/>
        <w:keepLines w:val="0"/>
        <w:pageBreakBefore w:val="0"/>
        <w:widowControl/>
        <w:kinsoku/>
        <w:wordWrap/>
        <w:overflowPunct/>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及管理暂行办法</w:t>
      </w:r>
    </w:p>
    <w:p w14:paraId="015EDE2E">
      <w:pPr>
        <w:keepNext w:val="0"/>
        <w:keepLines w:val="0"/>
        <w:pageBreakBefore w:val="0"/>
        <w:widowControl w:val="0"/>
        <w:kinsoku/>
        <w:wordWrap/>
        <w:overflowPunct w:val="0"/>
        <w:topLinePunct w:val="0"/>
        <w:autoSpaceDE/>
        <w:autoSpaceDN/>
        <w:bidi w:val="0"/>
        <w:adjustRightInd w:val="0"/>
        <w:snapToGrid w:val="0"/>
        <w:spacing w:before="599" w:beforeLines="100" w:after="301" w:afterLines="50" w:line="580" w:lineRule="exact"/>
        <w:ind w:left="0" w:leftChars="0" w:right="0" w:rightChars="0" w:firstLine="0" w:firstLineChars="0"/>
        <w:jc w:val="center"/>
        <w:textAlignment w:val="auto"/>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第一章 </w:t>
      </w:r>
      <w:r>
        <w:rPr>
          <w:rFonts w:hint="eastAsia" w:ascii="黑体" w:hAnsi="宋体" w:eastAsia="黑体" w:cs="黑体"/>
          <w:color w:val="000000"/>
          <w:kern w:val="0"/>
          <w:sz w:val="32"/>
          <w:szCs w:val="32"/>
          <w:lang w:val="en-US" w:eastAsia="zh-CN" w:bidi="ar"/>
        </w:rPr>
        <w:t xml:space="preserve"> </w:t>
      </w:r>
      <w:r>
        <w:rPr>
          <w:rFonts w:hint="eastAsia" w:ascii="黑体" w:hAnsi="宋体" w:eastAsia="黑体" w:cs="黑体"/>
          <w:color w:val="000000"/>
          <w:kern w:val="0"/>
          <w:sz w:val="32"/>
          <w:szCs w:val="32"/>
          <w:lang w:bidi="ar"/>
        </w:rPr>
        <w:t>总</w:t>
      </w:r>
      <w:r>
        <w:rPr>
          <w:rFonts w:hint="eastAsia" w:ascii="黑体" w:hAnsi="宋体" w:eastAsia="黑体" w:cs="黑体"/>
          <w:color w:val="000000"/>
          <w:kern w:val="0"/>
          <w:sz w:val="32"/>
          <w:szCs w:val="32"/>
          <w:lang w:val="en-US" w:eastAsia="zh-CN" w:bidi="ar"/>
        </w:rPr>
        <w:t xml:space="preserve">  </w:t>
      </w:r>
      <w:r>
        <w:rPr>
          <w:rFonts w:hint="eastAsia" w:ascii="黑体" w:hAnsi="宋体" w:eastAsia="黑体" w:cs="黑体"/>
          <w:color w:val="000000"/>
          <w:kern w:val="0"/>
          <w:sz w:val="32"/>
          <w:szCs w:val="32"/>
          <w:lang w:bidi="ar"/>
        </w:rPr>
        <w:t>则</w:t>
      </w:r>
    </w:p>
    <w:p w14:paraId="50A95488">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第一</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为推进绿色制造和服务体系建设，加快形成规范化、长效化机制，打造绿色制造领军力量，根据工业和信息化部《绿色工厂梯度培育及管理暂行办法》、山东省工业和信息化厅《山东省绿色制造单位梯度培育及管理暂行办法》以及《济南市工业领域碳达峰工作方案》等有关要求，制定本办法。</w:t>
      </w:r>
    </w:p>
    <w:p w14:paraId="01D5960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绿色制造单位包括绿色工厂、绿色工业园区、绿色供应链管理企业。绿色制造单位培育认定是指从两个维度建立培育机制：纵向形成国家、省、市、区（县）四级联动的绿色制造单位培育机制；横向形成绿色工业园区、绿色供应链管理企业带动园区内、供应链上下游企业创建绿色工厂的培育机制。</w:t>
      </w:r>
    </w:p>
    <w:p w14:paraId="513D71AE">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第三</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绿色制造单位培育认定及管理遵循以企业、园区为主体，坚持政府引导、标准引领的原则，以绿色工厂建设为基础，以绿色供应链管理企业、绿色工业园区建设为支撑，引导第三方机构提供专业化服务，激发企业和园区在工业节能降碳、节水、资源综合利用等方面工作的内生动力，推动行业、区域绿色低碳转型升级。</w:t>
      </w:r>
    </w:p>
    <w:p w14:paraId="38F6353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第四</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鼓励企业和园区积极开展绿色制造对标提升及评价工作，对标提升工作遵循自愿的原则，评价认定工作遵循自愿、公开、公平、公正的原则。</w:t>
      </w:r>
    </w:p>
    <w:p w14:paraId="13FF929B">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第五</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市工业和信息化局负责市级绿色制造单位的认定、审核、管理等工作，各区县（功能区）工业和信息化部门负责本地区绿色制造单位的培育创建、申报推荐和日常管理。</w:t>
      </w:r>
    </w:p>
    <w:p w14:paraId="2971BB81">
      <w:pPr>
        <w:keepNext w:val="0"/>
        <w:keepLines w:val="0"/>
        <w:pageBreakBefore w:val="0"/>
        <w:widowControl w:val="0"/>
        <w:kinsoku/>
        <w:wordWrap/>
        <w:overflowPunct w:val="0"/>
        <w:topLinePunct w:val="0"/>
        <w:autoSpaceDE/>
        <w:autoSpaceDN/>
        <w:bidi w:val="0"/>
        <w:adjustRightInd w:val="0"/>
        <w:snapToGrid w:val="0"/>
        <w:spacing w:before="301" w:beforeLines="50" w:after="301" w:afterLines="50" w:line="580" w:lineRule="exact"/>
        <w:ind w:left="0" w:leftChars="0" w:right="0" w:rightChars="0" w:firstLine="0" w:firstLineChars="0"/>
        <w:jc w:val="center"/>
        <w:textAlignment w:val="auto"/>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第二章  培育条件</w:t>
      </w:r>
    </w:p>
    <w:p w14:paraId="378F14F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第六</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绿色工厂培育对象的基本条件：</w:t>
      </w:r>
    </w:p>
    <w:p w14:paraId="1F25E11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（一）在本市辖区内登记注册，具有独立法人资格或者视同法人的独立核算单位，且从事实际生产的制造业企业，在建设和生产过程中应遵守有关法律、法规、政策和标准。</w:t>
      </w:r>
    </w:p>
    <w:p w14:paraId="02C1D488">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（二）对利益相关方的环境要求做出承诺并满足承诺要求，具有较好的经济技术基础和经济效益，相关绩效指标优于同行业平均水平，在全市同行业中具有较强的竞争优势。</w:t>
      </w:r>
    </w:p>
    <w:p w14:paraId="1B29B4C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（三）具备较高的质量、环保、安全生产和能源资源管理水平，各项管理制度体系健全并持续运行完善。</w:t>
      </w:r>
    </w:p>
    <w:p w14:paraId="54CAD23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color w:val="000000"/>
          <w:spacing w:val="-4"/>
          <w:kern w:val="0"/>
          <w:sz w:val="32"/>
          <w:szCs w:val="32"/>
          <w:lang w:bidi="ar"/>
        </w:rPr>
      </w:pPr>
      <w:r>
        <w:rPr>
          <w:rFonts w:hint="eastAsia" w:ascii="仿宋_GB2312" w:hAnsi="宋体" w:eastAsia="仿宋_GB2312" w:cs="仿宋_GB2312"/>
          <w:color w:val="000000"/>
          <w:kern w:val="0"/>
          <w:sz w:val="32"/>
          <w:szCs w:val="32"/>
          <w:lang w:bidi="ar"/>
        </w:rPr>
        <w:t>（四）</w:t>
      </w:r>
      <w:r>
        <w:rPr>
          <w:rFonts w:hint="eastAsia" w:ascii="仿宋_GB2312" w:hAnsi="宋体" w:eastAsia="仿宋_GB2312" w:cs="仿宋_GB2312"/>
          <w:color w:val="000000"/>
          <w:spacing w:val="-4"/>
          <w:kern w:val="0"/>
          <w:sz w:val="32"/>
          <w:szCs w:val="32"/>
          <w:lang w:bidi="ar"/>
        </w:rPr>
        <w:t>高度重视工业节能降碳、节水和清洁生产工作，具备条件的企业应积极参加节水示范（典范）企业、无废工厂、能效和水效领跑者等创建活动，自觉开展节能诊断、节水诊断、工业固体废物资源综合利用评价，强化诊断成果运用，加强绿色化改造。</w:t>
      </w:r>
    </w:p>
    <w:p w14:paraId="612122AC">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color w:val="000000"/>
          <w:spacing w:val="-4"/>
          <w:kern w:val="0"/>
          <w:sz w:val="32"/>
          <w:szCs w:val="32"/>
          <w:lang w:bidi="ar"/>
        </w:rPr>
      </w:pPr>
      <w:r>
        <w:rPr>
          <w:rFonts w:hint="eastAsia" w:ascii="仿宋_GB2312" w:hAnsi="宋体" w:eastAsia="仿宋_GB2312" w:cs="仿宋_GB2312"/>
          <w:color w:val="000000"/>
          <w:kern w:val="0"/>
          <w:sz w:val="32"/>
          <w:szCs w:val="32"/>
          <w:lang w:bidi="ar"/>
        </w:rPr>
        <w:t>（五）</w:t>
      </w:r>
      <w:r>
        <w:rPr>
          <w:rFonts w:hint="eastAsia" w:ascii="仿宋_GB2312" w:hAnsi="宋体" w:eastAsia="仿宋_GB2312" w:cs="仿宋_GB2312"/>
          <w:color w:val="000000"/>
          <w:spacing w:val="-4"/>
          <w:kern w:val="0"/>
          <w:sz w:val="32"/>
          <w:szCs w:val="32"/>
          <w:lang w:bidi="ar"/>
        </w:rPr>
        <w:t>近三年（含成立不足三年）不得出现以下情况：未正常经营生产的（工商注销、连续停产12个月以上、被市场监督管理部门列入经营异常和严重违法失信名单且未被移出等）；被动态调整出绿色制造名单的；发生环境污染、安全（包括安全生产、网络安全、数据安全）、产品质量等事故以及偷税漏税等违法违规行为（参照“信用中国”和</w:t>
      </w:r>
      <w:r>
        <w:rPr>
          <w:rFonts w:hint="eastAsia" w:ascii="仿宋_GB2312" w:hAnsi="宋体" w:cs="仿宋_GB2312"/>
          <w:color w:val="000000"/>
          <w:spacing w:val="-4"/>
          <w:kern w:val="0"/>
          <w:sz w:val="32"/>
          <w:szCs w:val="32"/>
          <w:lang w:eastAsia="zh-CN" w:bidi="ar"/>
        </w:rPr>
        <w:t>“</w:t>
      </w:r>
      <w:r>
        <w:rPr>
          <w:rFonts w:hint="eastAsia" w:ascii="仿宋_GB2312" w:hAnsi="宋体" w:eastAsia="仿宋_GB2312" w:cs="仿宋_GB2312"/>
          <w:color w:val="000000"/>
          <w:spacing w:val="-4"/>
          <w:kern w:val="0"/>
          <w:sz w:val="32"/>
          <w:szCs w:val="32"/>
          <w:lang w:bidi="ar"/>
        </w:rPr>
        <w:t>国家企业信用信息公示系统”）；被列为失信被执行人；在相关督查中被发现存在严重问题且未按要求完成整改；被列入工业节能监察整改名单且未按要求完成整改。</w:t>
      </w:r>
    </w:p>
    <w:p w14:paraId="23CA20E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（六）上年度用地集约化、原料无害化、生产洁净化、废物资源化、能源低碳化等指标处于全市先进水平。</w:t>
      </w:r>
    </w:p>
    <w:p w14:paraId="27FA23B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用地集约化指标：工厂容积率不低于《工业项目建设用地控制指标》的要求；工厂建筑密度不低于30%；单位用地面积产能或产值不低于全市单位用地面积产能或产值平均水平。</w:t>
      </w:r>
    </w:p>
    <w:p w14:paraId="2A0F631A">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原料无害化指标：绿色物料使用率不低于行业平均水平。（绿色物料选自省级以上政府相关部门发布的资源综合利用产品目录、有毒有害原料（产品）替代目录等，或利用再生资源及产业废弃物等作为原料）。</w:t>
      </w:r>
    </w:p>
    <w:p w14:paraId="41CBF408">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生产洁净化指标：单位产品主要污染物产生量（包括化学需氧量、氨氮、二氧化硫、氮氧化物等）、废气产生量、废水产生量不高于行业平均水平。</w:t>
      </w:r>
    </w:p>
    <w:p w14:paraId="563FCB49">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废物资源化指标：单位产品主要原材料消耗量不高于行业平均水平，工业固体废物综合利用率应不低于行业平均水平，废水处理回用率高于行业平均值。</w:t>
      </w:r>
    </w:p>
    <w:p w14:paraId="755615AE">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能源低碳化指标：单位产品综合能耗应符合相关国家、行业或地方标准中的限额要求。未制定相关标准的，应达到行业平均水平。单位产品碳排放量不高于行业平均水平。具体的指标值，申报时根据上年度的行业或政府要求另行设定。</w:t>
      </w:r>
    </w:p>
    <w:p w14:paraId="065729D8">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（七）对已建立区县级绿色工厂培育管理办法的区县（功能区），优先推荐区县级绿色工厂申报。</w:t>
      </w:r>
    </w:p>
    <w:p w14:paraId="5D74019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（八）符合绿色工厂相关行业评价标准要求。</w:t>
      </w:r>
    </w:p>
    <w:p w14:paraId="2314876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第七</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绿色工业园区培育对象的基本条件：</w:t>
      </w:r>
    </w:p>
    <w:p w14:paraId="6F1D158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具有法定边界和范围、具备统一管理机构的工业园区，以产品制造和能源供给为主要功能，原则上工业增加值占比不低于45%；国家和地方绿色、循环和低碳相关法律法规、政策和标准得到有效贯彻执行；涉及化工园区的应通过省级人民政府或其授权机构认定。</w:t>
      </w:r>
    </w:p>
    <w:p w14:paraId="7BC4B4D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（二）发布园区绿色工厂培育计划，积极组织园区内企业开展绿色工厂创建工作。</w:t>
      </w:r>
    </w:p>
    <w:p w14:paraId="5EC2B2C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近三年，未发生重大污染、安全等事故或重大生态破坏事件；未在相关督查中被发现存在严重问题；未被动态调整出绿色制造名单；完成国家或地方政府下达的节能减排降碳指标；环境质量达到国家或地方规定的环境功能区环境质量标准，园区内企业污染物达标排放；各类重点污染物排放总量均不超过国家或地方的总量控制要求；园区内属于强制性清洁生产审核的企业应100%依法开展清洁生产审核。</w:t>
      </w:r>
    </w:p>
    <w:p w14:paraId="028FF3EA">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color w:val="000000"/>
          <w:spacing w:val="-4"/>
          <w:kern w:val="0"/>
          <w:sz w:val="32"/>
          <w:szCs w:val="32"/>
          <w:lang w:bidi="ar"/>
        </w:rPr>
      </w:pPr>
      <w:r>
        <w:rPr>
          <w:rFonts w:hint="eastAsia" w:ascii="仿宋_GB2312" w:hAnsi="宋体" w:eastAsia="仿宋_GB2312" w:cs="仿宋_GB2312"/>
          <w:color w:val="000000"/>
          <w:kern w:val="0"/>
          <w:sz w:val="32"/>
          <w:szCs w:val="32"/>
          <w:lang w:bidi="ar"/>
        </w:rPr>
        <w:t>（四）</w:t>
      </w:r>
      <w:r>
        <w:rPr>
          <w:rFonts w:hint="eastAsia" w:ascii="仿宋_GB2312" w:hAnsi="宋体" w:eastAsia="仿宋_GB2312" w:cs="仿宋_GB2312"/>
          <w:color w:val="000000"/>
          <w:spacing w:val="-4"/>
          <w:kern w:val="0"/>
          <w:sz w:val="32"/>
          <w:szCs w:val="32"/>
          <w:lang w:bidi="ar"/>
        </w:rPr>
        <w:t>园区企业不应使用国家列入淘汰目录的落后生产技术、工艺和设备，不应生产国家列入淘汰目录的产品。</w:t>
      </w:r>
    </w:p>
    <w:p w14:paraId="0DDFAC9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（五）建立履行绿色发展工作职责的机构并配备2名以上工作人员。</w:t>
      </w:r>
    </w:p>
    <w:p w14:paraId="56AC2B1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color w:val="000000"/>
          <w:spacing w:val="-4"/>
          <w:kern w:val="0"/>
          <w:sz w:val="32"/>
          <w:szCs w:val="32"/>
          <w:lang w:bidi="ar"/>
        </w:rPr>
      </w:pPr>
      <w:r>
        <w:rPr>
          <w:rFonts w:hint="eastAsia" w:ascii="仿宋_GB2312" w:hAnsi="宋体" w:eastAsia="仿宋_GB2312" w:cs="仿宋_GB2312"/>
          <w:color w:val="000000"/>
          <w:kern w:val="0"/>
          <w:sz w:val="32"/>
          <w:szCs w:val="32"/>
          <w:lang w:bidi="ar"/>
        </w:rPr>
        <w:t>（六）</w:t>
      </w:r>
      <w:r>
        <w:rPr>
          <w:rFonts w:hint="eastAsia" w:ascii="仿宋_GB2312" w:hAnsi="宋体" w:eastAsia="仿宋_GB2312" w:cs="仿宋_GB2312"/>
          <w:color w:val="000000"/>
          <w:spacing w:val="-4"/>
          <w:kern w:val="0"/>
          <w:sz w:val="32"/>
          <w:szCs w:val="32"/>
          <w:lang w:bidi="ar"/>
        </w:rPr>
        <w:t>鼓励园区建立并运行环境和能源管理体系，建立园区能源监测管理平台；鼓励园区建设并运行风能、太阳能等可再生能源应用设施；鼓励园区积极开展无废园区、近零碳园区创建工作。</w:t>
      </w:r>
    </w:p>
    <w:p w14:paraId="5408782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（七）符合绿色工业园区有关评价标准要求。</w:t>
      </w:r>
    </w:p>
    <w:p w14:paraId="3CA2A049">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第八</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绿色供应链管理企业培育对象的基本条件：</w:t>
      </w:r>
    </w:p>
    <w:p w14:paraId="56B75BB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在本市辖区内登记注册，具有独立法人资格或者视同法人的独立核算单位，绿色供应链管理基础好，行业影响力大、在产业链发挥主导作用；企业有较高的质量、环保、安全生产和能源资源管理水平，各项管理制度健全，符合国家和地方的法律法规及标准规范要求。</w:t>
      </w:r>
    </w:p>
    <w:p w14:paraId="351F61D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（二）制定上下游供应商绿色工厂培育计划，推动供应商开展绿色工厂创建，原则上本身应为绿色工厂。</w:t>
      </w:r>
    </w:p>
    <w:p w14:paraId="391010C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（三）拥有数量较多的供应商，在供应商中有很强的影响力，与上下游供应商建立良好的合作关系；有完善的供应商管理体系，建立健全的供应商认证、选择、审核、绩效管理和退出机制。</w:t>
      </w:r>
    </w:p>
    <w:p w14:paraId="30B93D48">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（四）有健全的财务管理制度，销售盈利能力处于行业领先水平，对实施绿色供应链管理有明确的工作目标、计划和措施。</w:t>
      </w:r>
    </w:p>
    <w:p w14:paraId="3B1451E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（五）近三年（含成立不足三年）不得出现以下情况：未正常经营生产的 （工商注销、连续停产12个月以上、被市场监督管理部门列入经营异常和严重违法失信名单且未被移出等）；被动态调整出绿色制造名单；发生环境污染、安全 （包括安全生产、网络安全、数据安全）、产品质量等事故以及偷税漏税等违法违规行为 （参照 “信用中国”和“国家企业信用信息公示系统”）；被列为失信被执行人；在相关督查中被发现存在严重问题；被列入工业节能监察整改名单且未按要求完成整改。</w:t>
      </w:r>
    </w:p>
    <w:p w14:paraId="0C020AEB">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（六）对已建立区县级绿色供应链管理企业培育管理办法的区县（功能区），优先推荐区县级绿色供应链管理企业申报。</w:t>
      </w:r>
    </w:p>
    <w:p w14:paraId="1E683823">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（七）符合绿色供应链管理企业相关评价标准要求。</w:t>
      </w:r>
    </w:p>
    <w:p w14:paraId="1602AA03">
      <w:pPr>
        <w:keepNext w:val="0"/>
        <w:keepLines w:val="0"/>
        <w:pageBreakBefore w:val="0"/>
        <w:widowControl w:val="0"/>
        <w:kinsoku/>
        <w:wordWrap/>
        <w:overflowPunct w:val="0"/>
        <w:topLinePunct w:val="0"/>
        <w:autoSpaceDE/>
        <w:autoSpaceDN/>
        <w:bidi w:val="0"/>
        <w:adjustRightInd w:val="0"/>
        <w:snapToGrid w:val="0"/>
        <w:spacing w:before="301" w:beforeLines="50" w:after="301" w:afterLines="50" w:line="580" w:lineRule="exact"/>
        <w:ind w:left="0" w:leftChars="0" w:right="0" w:rightChars="0" w:firstLine="0" w:firstLineChars="0"/>
        <w:jc w:val="center"/>
        <w:textAlignment w:val="auto"/>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第三章  申报认定程序</w:t>
      </w:r>
    </w:p>
    <w:p w14:paraId="26A53A89">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第九</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市工业和信息化局每年印发申报通知，企业、园区按照自愿原则，对照相关标准编制申请报告，采取自评价或委托具备评价能力的第三方机构评价，经评价达到标准要求的企业、园区，向所在区县（功能区）工业和信息化部门提交自评价报告或第三方评价报告以及相关支撑材料。各区县（功能区）推荐数量将按照上级工信部门要求、规模以上工业企业数量、培育建设情况等因素综合确定。</w:t>
      </w:r>
    </w:p>
    <w:p w14:paraId="455258DE">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各区县（功能区）工业和信息化部门须对企业、园区的申报材料进行审核，并征求区县（功能区）生态环境、应急管理、市场监管、税务等部门意见后，择优向市工业和信息化局推荐。市工业和信息化局组织专家进行评审，视情况组织开展现场核查。市工业和信息化局将拟通过的市级绿色制造单位名单在网站公示，无异议后由市工业和信息化局发文公布。</w:t>
      </w:r>
    </w:p>
    <w:p w14:paraId="5F4708E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第十一</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市级绿色制造单位认定标准，参照工业和信息化部、山东省工业和信息化厅发布的绿色制造单位有关标准和要求，经综合评定考量，综合得分应在80分以上。工业重点领域优先推荐能效水平达到国家有关部门发布的标杆水平的工厂，其他行业优先推荐达到相应国家能源消耗限额标准先进值或1级水平的工厂，优先支持获得省级及以上能效和水效领跑者单位以及市级以上节能、节水荣誉称号的单位。</w:t>
      </w:r>
    </w:p>
    <w:p w14:paraId="5A485AA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第十二</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申报国家级绿色工厂、绿色工业园区、绿色供应链管理企业按照工业和信息化部相关文件和要求组织开展，申报国家级绿色制造单位原则上应为省级绿色制造单位。申报省级绿色工厂、绿色工业园区、绿色供应链管理企业按照山东省工业和信息化厅相关文件和要求组织开展，申报省级绿色制造单位原则上应为市级绿色制造单位。</w:t>
      </w:r>
    </w:p>
    <w:p w14:paraId="1F7FE09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第十三</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第三方评价机构应依据国家有关法律法规、政策标准和本办法，按照绿色制造第三方评价有关工作要求开展工作，形成评价结果，出具评价报告，并对评价报告负责，接受监督。</w:t>
      </w:r>
    </w:p>
    <w:p w14:paraId="3FD5248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第十四</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市、区（县）工业和信息化部门应加强对服务本地的第三方评价机构的资格审查和监督管理，对弄虚作假的、质量评估较差的第三方评价机构，三年内不予采信其出具的评价结果；对不具备基本条件的第三方机构，不采信其提报的评价报告和评价结果。</w:t>
      </w:r>
    </w:p>
    <w:p w14:paraId="6D0A8AE7">
      <w:pPr>
        <w:keepNext w:val="0"/>
        <w:keepLines w:val="0"/>
        <w:pageBreakBefore w:val="0"/>
        <w:widowControl w:val="0"/>
        <w:kinsoku/>
        <w:wordWrap/>
        <w:overflowPunct w:val="0"/>
        <w:topLinePunct w:val="0"/>
        <w:autoSpaceDE/>
        <w:autoSpaceDN/>
        <w:bidi w:val="0"/>
        <w:adjustRightInd w:val="0"/>
        <w:snapToGrid w:val="0"/>
        <w:spacing w:before="301" w:beforeLines="50" w:after="301" w:afterLines="50" w:line="580" w:lineRule="exact"/>
        <w:ind w:left="0" w:leftChars="0" w:right="0" w:rightChars="0" w:firstLine="0" w:firstLineChars="0"/>
        <w:jc w:val="center"/>
        <w:textAlignment w:val="auto"/>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第四章  动态管理</w:t>
      </w:r>
    </w:p>
    <w:p w14:paraId="5FE3B09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第十五</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绿色制造单位实行动态管理。市级绿色制造单位以三年为一个周期，期满后按要求进行复审，进行复审的绿色制造单位须报告上一评价周期内的生产经营情况和主要绿色制造指标变化情况，按要求提报复审材料，经所在地区县（功能区）工业和信息化部门审核后报市工业和信息化局，市工业和信息化局组织审查，视情开展现场抽查，根据实际情况动态调整名单并及时公布复核结果，符合条件的延长三年。</w:t>
      </w:r>
    </w:p>
    <w:p w14:paraId="26C6FFAB">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第十六</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 xml:space="preserve">三年周期内，因投资、并购、管理或其他原因造成实际生产经营范围、生产地址或组织边界与列入绿色制造单位时相比发生重大变更的，应及时申请再评价，提交修正后的评价报告，经所在地区县（功能区）工业和信息化部门初审后报市工业和信息化局，市工业和信息化局组织对再评价材料进行审查，不再符合标准要求的按程序移出名单，并及时公布再评价结果。 </w:t>
      </w:r>
    </w:p>
    <w:p w14:paraId="5DB4ACF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第十七</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国家、省、市三级绿色制造单位按要求每年在规定时间内报送绿色制造工作开展情况，填写《绿色制造动态管理表》，并通过工业节能与绿色发展管理平台（网址：https://green.miit.gov.cn）报送。</w:t>
      </w:r>
    </w:p>
    <w:p w14:paraId="5CEF553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第十八</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各区县（功能区）工业和信息化部门应加强对绿色制造单位的指导和管理，不定期进行现场抽查复核，对创建成效持续跟踪和研究分析，发现存在重大及以上生产安全和质量事故、Ⅱ级（重大）及以上突发环境污染事件的实时上报，经核实相关情况后，及时从各层面绿色制造名单中移出并进行公告。</w:t>
      </w:r>
    </w:p>
    <w:p w14:paraId="05E3BB4B">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第十九</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 xml:space="preserve">存在以下情形的绿色制造单位，在发布年度名单时予以除名并进行公告： </w:t>
      </w:r>
    </w:p>
    <w:p w14:paraId="4AD5FB39">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（一）未正常经营生产的（工商注销、连续停产12个月以上、被市场监督管理部门列入经营异常和严重违法失信名单且未被移出等）。 </w:t>
      </w:r>
    </w:p>
    <w:p w14:paraId="0C99980A">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（二）被动态调整出绿色制造名单的。 </w:t>
      </w:r>
    </w:p>
    <w:p w14:paraId="6E93E6EC">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（三）发生安全（包括安全生产、网络安全、数据安全）、质量、环境污染等事故以及偷漏税等违法违规行为的（参照“信用中国”“国家企业信用信息公示系统”及相关部门反馈意见）。</w:t>
      </w:r>
    </w:p>
    <w:p w14:paraId="085D53C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（四）在国务院及其他有关部委相关督查工作中被发现存在严重问题的。 </w:t>
      </w:r>
    </w:p>
    <w:p w14:paraId="39299500">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（五）</w:t>
      </w:r>
      <w:r>
        <w:rPr>
          <w:rFonts w:hint="eastAsia" w:ascii="仿宋_GB2312" w:hAnsi="宋体" w:eastAsia="仿宋_GB2312" w:cs="仿宋_GB2312"/>
          <w:color w:val="000000"/>
          <w:spacing w:val="-4"/>
          <w:kern w:val="0"/>
          <w:sz w:val="32"/>
          <w:szCs w:val="32"/>
          <w:lang w:bidi="ar"/>
        </w:rPr>
        <w:t>被列入工业节能监察整改名单且未按要求完成整改的。</w:t>
      </w:r>
    </w:p>
    <w:p w14:paraId="07DC364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（六）企业被列为失信被执行人。 </w:t>
      </w:r>
    </w:p>
    <w:p w14:paraId="7D871E1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（七）拒不按时填报动态管理表。 </w:t>
      </w:r>
    </w:p>
    <w:p w14:paraId="0FD24F39">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（八）所提交材料或数据存在造假等问题。</w:t>
      </w:r>
    </w:p>
    <w:p w14:paraId="74661919">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第二十</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绿色制造单位如发生名称变更时，应在办理完相关手续后30个工作日内及时上报所在地区县（功能区）工业和信息化部门。区县（功能区）工业和信息化部门对变更申请进行审核并提出变更意见，对涉及市级、省级、国家级绿色制造名单的，在每年推荐名单时，将变更意见统一上报，市工业和信息化局在发布年度市级绿色制造名单时予以公告和变更。对涉及省级、国家级绿色制造名单的，市工业和信息化局统一上报。</w:t>
      </w:r>
    </w:p>
    <w:p w14:paraId="1089898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第二十一</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任何组织或个人可针对绿色制造单位和第三方机构相关信息真实性、准确性等方面存在的问题，向所在地工业和信息化部门实名举报，并提供佐证材料和联系方式。对受理的举报内容，相关工业和信息化部门应及时进行核实，经核实确认存在所举报问题的，视情节轻重要求进行整改，整改不到位的按要求从绿色制造名单移出或将第三方机构列入黑名单。</w:t>
      </w:r>
    </w:p>
    <w:p w14:paraId="317D9BA0">
      <w:pPr>
        <w:keepNext w:val="0"/>
        <w:keepLines w:val="0"/>
        <w:pageBreakBefore w:val="0"/>
        <w:widowControl w:val="0"/>
        <w:kinsoku/>
        <w:wordWrap/>
        <w:overflowPunct w:val="0"/>
        <w:topLinePunct w:val="0"/>
        <w:autoSpaceDE/>
        <w:autoSpaceDN/>
        <w:bidi w:val="0"/>
        <w:adjustRightInd w:val="0"/>
        <w:snapToGrid w:val="0"/>
        <w:spacing w:before="301" w:beforeLines="50" w:after="301" w:afterLines="50" w:line="580" w:lineRule="exact"/>
        <w:ind w:left="0" w:leftChars="0" w:right="0" w:rightChars="0" w:firstLine="0" w:firstLineChars="0"/>
        <w:jc w:val="center"/>
        <w:textAlignment w:val="auto"/>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第五章  激励措施</w:t>
      </w:r>
    </w:p>
    <w:p w14:paraId="58F1C67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第二十二</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市、区县两级工业和信息化部门应对认定公布的绿色制造单位依照相关文件给予政策支持，联合有关部门在技术改造、专项资金申请、政府采购、试点示范、金融服务、品牌宣传等方面给予重点支持。积极开展绿色制造有关标准宣贯，加强绿色制造单位培育。</w:t>
      </w:r>
    </w:p>
    <w:p w14:paraId="08BBDEF8">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第二十三</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市、区县两级工业和信息化部门应积极展示宣传绿色制造单位的先进技术和典型做法，组织企业对标提升。鼓励绿色工厂编制绿色低碳发展报告，绿色工业园区制定绿色工厂支持政策，绿色供应链管理企业加大绿色工厂产品采购力度等。</w:t>
      </w:r>
    </w:p>
    <w:p w14:paraId="4EA127D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第二十四</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绿色制造评价机构应加强自身能力建设和专业人员培养，主动向培育对象宣贯绿色制造相关理念和要求，推广先进成熟经验，深入挖掘绿色发展工作亮点和潜在改进空间，提出合理化提升建议，跟踪培育对象绿色发展过程的需求，提出绿色制造系统解决方案和持续性技术服务。</w:t>
      </w:r>
    </w:p>
    <w:p w14:paraId="6FDFBA04">
      <w:pPr>
        <w:keepNext w:val="0"/>
        <w:keepLines w:val="0"/>
        <w:pageBreakBefore w:val="0"/>
        <w:widowControl w:val="0"/>
        <w:kinsoku/>
        <w:wordWrap/>
        <w:overflowPunct w:val="0"/>
        <w:topLinePunct w:val="0"/>
        <w:autoSpaceDE/>
        <w:autoSpaceDN/>
        <w:bidi w:val="0"/>
        <w:adjustRightInd w:val="0"/>
        <w:snapToGrid w:val="0"/>
        <w:spacing w:before="301" w:beforeLines="50" w:after="301" w:afterLines="50" w:line="580" w:lineRule="exact"/>
        <w:ind w:left="0" w:leftChars="0" w:right="0" w:rightChars="0" w:firstLine="0" w:firstLineChars="0"/>
        <w:jc w:val="center"/>
        <w:textAlignment w:val="auto"/>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第六章  附</w:t>
      </w:r>
      <w:r>
        <w:rPr>
          <w:rFonts w:hint="eastAsia" w:ascii="黑体" w:hAnsi="宋体" w:eastAsia="黑体" w:cs="黑体"/>
          <w:color w:val="000000"/>
          <w:kern w:val="0"/>
          <w:sz w:val="32"/>
          <w:szCs w:val="32"/>
          <w:lang w:val="en-US" w:eastAsia="zh-CN" w:bidi="ar"/>
        </w:rPr>
        <w:t xml:space="preserve">  </w:t>
      </w:r>
      <w:r>
        <w:rPr>
          <w:rFonts w:hint="eastAsia" w:ascii="黑体" w:hAnsi="宋体" w:eastAsia="黑体" w:cs="黑体"/>
          <w:color w:val="000000"/>
          <w:kern w:val="0"/>
          <w:sz w:val="32"/>
          <w:szCs w:val="32"/>
          <w:lang w:bidi="ar"/>
        </w:rPr>
        <w:t>则</w:t>
      </w:r>
    </w:p>
    <w:p w14:paraId="43DF101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第二十五</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本办法由市工业和信息化局负责解释。</w:t>
      </w:r>
    </w:p>
    <w:p w14:paraId="1CD39B8A">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第二十六</w:t>
      </w:r>
      <w:r>
        <w:rPr>
          <w:rFonts w:hint="eastAsia" w:ascii="黑体" w:hAnsi="黑体" w:eastAsia="黑体" w:cs="黑体"/>
          <w:color w:val="000000"/>
          <w:kern w:val="0"/>
          <w:sz w:val="32"/>
          <w:szCs w:val="32"/>
          <w:lang w:eastAsia="zh-CN" w:bidi="ar"/>
        </w:rPr>
        <w:t xml:space="preserve">条  </w:t>
      </w:r>
      <w:r>
        <w:rPr>
          <w:rFonts w:hint="eastAsia" w:ascii="仿宋_GB2312" w:hAnsi="宋体" w:eastAsia="仿宋_GB2312" w:cs="仿宋_GB2312"/>
          <w:color w:val="000000"/>
          <w:kern w:val="0"/>
          <w:sz w:val="32"/>
          <w:szCs w:val="32"/>
          <w:lang w:bidi="ar"/>
        </w:rPr>
        <w:t>本办法自2024年10月26日起实施，有效期至2027年10月25日。2019年9月25日印发的《济南市绿色工厂认定管理办法（试行）》（济工信绿发字〔2019〕4号）同时废止。</w:t>
      </w:r>
    </w:p>
    <w:p w14:paraId="6E2CF9CA">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color w:val="000000"/>
          <w:kern w:val="0"/>
          <w:sz w:val="32"/>
          <w:szCs w:val="32"/>
          <w:lang w:bidi="ar"/>
        </w:rPr>
      </w:pPr>
    </w:p>
    <w:p w14:paraId="5D6A98BE">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color w:val="000000"/>
          <w:kern w:val="0"/>
          <w:sz w:val="32"/>
          <w:szCs w:val="32"/>
          <w:lang w:bidi="ar"/>
        </w:rPr>
      </w:pPr>
    </w:p>
    <w:p w14:paraId="15009A2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color w:val="000000"/>
          <w:kern w:val="0"/>
          <w:sz w:val="32"/>
          <w:szCs w:val="32"/>
          <w:lang w:bidi="ar"/>
        </w:rPr>
      </w:pPr>
    </w:p>
    <w:p w14:paraId="67816EAA">
      <w:pPr>
        <w:rPr>
          <w:rFonts w:hint="eastAsia"/>
        </w:rPr>
      </w:pPr>
    </w:p>
    <w:p w14:paraId="3846114F">
      <w:pPr>
        <w:rPr>
          <w:rFonts w:hint="eastAsia"/>
        </w:rPr>
      </w:pPr>
    </w:p>
    <w:p w14:paraId="1862BB6A">
      <w:pPr>
        <w:adjustRightInd w:val="0"/>
        <w:snapToGrid w:val="0"/>
        <w:spacing w:line="480" w:lineRule="exact"/>
        <w:ind w:firstLine="628" w:firstLineChars="200"/>
        <w:jc w:val="right"/>
        <w:rPr>
          <w:rFonts w:hint="eastAsia" w:ascii="仿宋_GB2312" w:hAnsi="仿宋"/>
          <w:color w:val="000000"/>
        </w:rPr>
      </w:pPr>
    </w:p>
    <w:p w14:paraId="38DB2BB3">
      <w:pPr>
        <w:adjustRightInd w:val="0"/>
        <w:snapToGrid w:val="0"/>
        <w:ind w:firstLine="628" w:firstLineChars="200"/>
        <w:jc w:val="right"/>
        <w:rPr>
          <w:rFonts w:hint="eastAsia" w:ascii="仿宋_GB2312" w:hAnsi="仿宋"/>
          <w:color w:val="000000"/>
        </w:rPr>
      </w:pPr>
    </w:p>
    <w:p w14:paraId="4CB5328A">
      <w:pPr>
        <w:adjustRightInd w:val="0"/>
        <w:snapToGrid w:val="0"/>
        <w:ind w:firstLine="628" w:firstLineChars="200"/>
        <w:jc w:val="right"/>
        <w:rPr>
          <w:rFonts w:hint="eastAsia" w:ascii="仿宋_GB2312" w:hAnsi="仿宋"/>
          <w:color w:val="000000"/>
        </w:rPr>
      </w:pPr>
    </w:p>
    <w:p w14:paraId="5172016A">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jc w:val="right"/>
        <w:textAlignment w:val="auto"/>
        <w:rPr>
          <w:rFonts w:hint="eastAsia" w:ascii="仿宋_GB2312" w:hAnsi="仿宋"/>
          <w:color w:val="000000"/>
        </w:rPr>
      </w:pPr>
    </w:p>
    <w:p w14:paraId="1BD477A9">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jc w:val="right"/>
        <w:textAlignment w:val="auto"/>
        <w:rPr>
          <w:rFonts w:hint="eastAsia" w:ascii="仿宋_GB2312" w:hAnsi="仿宋"/>
          <w:color w:val="000000"/>
        </w:rPr>
      </w:pPr>
    </w:p>
    <w:p w14:paraId="6D5C4351">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jc w:val="right"/>
        <w:textAlignment w:val="auto"/>
        <w:rPr>
          <w:rFonts w:hint="eastAsia" w:ascii="仿宋_GB2312" w:hAnsi="仿宋"/>
          <w:color w:val="000000"/>
        </w:rPr>
      </w:pPr>
    </w:p>
    <w:p w14:paraId="4E6EFF51">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jc w:val="right"/>
        <w:textAlignment w:val="auto"/>
        <w:rPr>
          <w:rFonts w:hint="eastAsia" w:ascii="仿宋_GB2312" w:hAnsi="仿宋"/>
          <w:color w:val="000000"/>
        </w:rPr>
      </w:pPr>
    </w:p>
    <w:p w14:paraId="11DCE04B">
      <w:pPr>
        <w:adjustRightInd w:val="0"/>
        <w:snapToGrid w:val="0"/>
        <w:spacing w:line="20" w:lineRule="exact"/>
        <w:rPr>
          <w:rFonts w:hint="eastAsia" w:ascii="仿宋_GB2312" w:hAnsi="宋体"/>
          <w:color w:val="000000"/>
          <w:sz w:val="28"/>
          <w:szCs w:val="28"/>
        </w:rPr>
      </w:pPr>
    </w:p>
    <w:p w14:paraId="0799260A">
      <w:pPr>
        <w:ind w:left="314" w:leftChars="100" w:right="314" w:rightChars="100"/>
        <w:rPr>
          <w:rFonts w:hint="eastAsia"/>
          <w:color w:val="000000"/>
        </w:rPr>
      </w:pPr>
      <w:r>
        <w:rPr>
          <w:rFonts w:hint="eastAsia" w:ascii="仿宋_GB2312" w:hAnsi="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10160</wp:posOffset>
                </wp:positionV>
                <wp:extent cx="5615940" cy="0"/>
                <wp:effectExtent l="0" t="6350" r="0" b="6350"/>
                <wp:wrapNone/>
                <wp:docPr id="3"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1.4pt;margin-top:0.8pt;height:0pt;width:442.2pt;z-index:251661312;mso-width-relative:page;mso-height-relative:page;" filled="f" stroked="t" coordsize="21600,21600" o:gfxdata="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jzLD9IAAAAGAQAADwAAAAAAAAABACAAAAAiAAAAZHJzL2Rvd25yZXYueG1sUEsBAhQAFAAA&#10;AAgAh07iQDSPetn1AQAA5QMAAA4AAAAAAAAAAQAgAAAAIQEAAGRycy9lMm9Eb2MueG1sUEsFBgAA&#10;AAAGAAYAWQEAAIgFAAAAAA==&#10;">
                <v:fill on="f" focussize="0,0"/>
                <v:stroke weight="1pt" color="#000000" joinstyle="round"/>
                <v:imagedata o:title=""/>
                <o:lock v:ext="edit" aspectratio="f"/>
              </v:line>
            </w:pict>
          </mc:Fallback>
        </mc:AlternateContent>
      </w:r>
      <w:r>
        <w:rPr>
          <w:rFonts w:hint="eastAsia" w:ascii="仿宋_GB2312"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393065</wp:posOffset>
                </wp:positionV>
                <wp:extent cx="5615940" cy="0"/>
                <wp:effectExtent l="0" t="6350" r="0" b="6350"/>
                <wp:wrapNone/>
                <wp:docPr id="2"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top:30.95pt;height:0pt;width:442.2pt;mso-position-horizontal:center;z-index:251660288;mso-width-relative:page;mso-height-relative:page;" filled="f" stroked="t" coordsize="21600,21600" o:gfxdata="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zxF//WAAAABgEAAA8AAAAAAAAAAQAgAAAAIgAAAGRycy9kb3ducmV2LnhtbFBLAQIU&#10;ABQAAAAIAIdO4kAzmIS09QEAAOUDAAAOAAAAAAAAAAEAIAAAACUBAABkcnMvZTJvRG9jLnhtbFBL&#10;BQYAAAAABgAGAFkBAACMBQAAAAA=&#10;">
                <v:fill on="f" focussize="0,0"/>
                <v:stroke weight="1pt" color="#000000" joinstyle="round"/>
                <v:imagedata o:title=""/>
                <o:lock v:ext="edit" aspectratio="f"/>
              </v:line>
            </w:pict>
          </mc:Fallback>
        </mc:AlternateContent>
      </w:r>
      <w:r>
        <w:rPr>
          <w:rFonts w:hint="eastAsia" w:ascii="仿宋_GB2312" w:hAnsi="宋体"/>
          <w:color w:val="000000"/>
          <w:sz w:val="28"/>
          <w:szCs w:val="28"/>
        </w:rPr>
        <w:t>济南市工业和信息化局办公室              202</w:t>
      </w:r>
      <w:r>
        <w:rPr>
          <w:rFonts w:hint="eastAsia" w:ascii="仿宋_GB2312" w:hAnsi="宋体"/>
          <w:color w:val="000000"/>
          <w:sz w:val="28"/>
          <w:szCs w:val="28"/>
          <w:lang w:val="en-US" w:eastAsia="zh-CN"/>
        </w:rPr>
        <w:t>4</w:t>
      </w:r>
      <w:r>
        <w:rPr>
          <w:rFonts w:hint="eastAsia" w:ascii="仿宋_GB2312" w:hAnsi="宋体"/>
          <w:color w:val="000000"/>
          <w:sz w:val="28"/>
          <w:szCs w:val="28"/>
        </w:rPr>
        <w:t>年</w:t>
      </w:r>
      <w:r>
        <w:rPr>
          <w:rFonts w:hint="eastAsia" w:ascii="仿宋_GB2312" w:hAnsi="宋体"/>
          <w:color w:val="000000"/>
          <w:sz w:val="28"/>
          <w:szCs w:val="28"/>
          <w:lang w:val="en-US" w:eastAsia="zh-CN"/>
        </w:rPr>
        <w:t>10</w:t>
      </w:r>
      <w:r>
        <w:rPr>
          <w:rFonts w:hint="eastAsia" w:ascii="仿宋_GB2312" w:hAnsi="宋体"/>
          <w:color w:val="000000"/>
          <w:sz w:val="28"/>
          <w:szCs w:val="28"/>
        </w:rPr>
        <w:t>月</w:t>
      </w:r>
      <w:r>
        <w:rPr>
          <w:rFonts w:hint="eastAsia" w:ascii="仿宋_GB2312" w:hAnsi="宋体"/>
          <w:color w:val="000000"/>
          <w:sz w:val="28"/>
          <w:szCs w:val="28"/>
          <w:lang w:val="en-US" w:eastAsia="zh-CN"/>
        </w:rPr>
        <w:t>26</w:t>
      </w:r>
      <w:r>
        <w:rPr>
          <w:rFonts w:hint="eastAsia" w:ascii="仿宋_GB2312" w:hAnsi="宋体"/>
          <w:color w:val="000000"/>
          <w:sz w:val="28"/>
          <w:szCs w:val="28"/>
        </w:rPr>
        <w:t>日印发</w:t>
      </w:r>
    </w:p>
    <w:p w14:paraId="00260184">
      <w:pPr>
        <w:adjustRightInd w:val="0"/>
        <w:snapToGrid w:val="0"/>
        <w:spacing w:line="20" w:lineRule="exact"/>
        <w:rPr>
          <w:rFonts w:hint="eastAsia"/>
        </w:rPr>
      </w:pPr>
      <w:r>
        <w:rPr>
          <w:rFonts w:hint="eastAsia" w:ascii="仿宋_GB2312" w:hAnsi="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4253865</wp:posOffset>
                </wp:positionH>
                <wp:positionV relativeFrom="paragraph">
                  <wp:posOffset>198120</wp:posOffset>
                </wp:positionV>
                <wp:extent cx="1287780" cy="758190"/>
                <wp:effectExtent l="4445" t="5080" r="22225" b="17780"/>
                <wp:wrapNone/>
                <wp:docPr id="4" name="矩形 656"/>
                <wp:cNvGraphicFramePr/>
                <a:graphic xmlns:a="http://schemas.openxmlformats.org/drawingml/2006/main">
                  <a:graphicData uri="http://schemas.microsoft.com/office/word/2010/wordprocessingShape">
                    <wps:wsp>
                      <wps:cNvSpPr/>
                      <wps:spPr>
                        <a:xfrm>
                          <a:off x="0" y="0"/>
                          <a:ext cx="1287780" cy="758190"/>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656" o:spid="_x0000_s1026" o:spt="1" style="position:absolute;left:0pt;margin-left:334.95pt;margin-top:15.6pt;height:59.7pt;width:101.4pt;z-index:251662336;mso-width-relative:page;mso-height-relative:page;" fillcolor="#FFFFFF" filled="t" stroked="t" coordsize="21600,21600" o:gfxdata="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xqiYtgAAAAKAQAADwAAAAAAAAABACAAAAAiAAAAZHJz&#10;L2Rvd25yZXYueG1sUEsBAhQAFAAAAAgAh07iQDZYlJ4EAgAALgQAAA4AAAAAAAAAAQAgAAAAJwEA&#10;AGRycy9lMm9Eb2MueG1sUEsFBgAAAAAGAAYAWQEAAJ0FAAAAAA==&#10;">
                <v:fill on="t" focussize="0,0"/>
                <v:stroke color="#FFFFFF" joinstyle="miter"/>
                <v:imagedata o:title=""/>
                <o:lock v:ext="edit" aspectratio="f"/>
              </v:rect>
            </w:pict>
          </mc:Fallback>
        </mc:AlternateContent>
      </w:r>
    </w:p>
    <w:sectPr>
      <w:footerReference r:id="rId3" w:type="default"/>
      <w:footerReference r:id="rId4" w:type="even"/>
      <w:pgSz w:w="11907" w:h="16840"/>
      <w:pgMar w:top="1985" w:right="1474" w:bottom="1701" w:left="1644" w:header="851" w:footer="992" w:gutter="0"/>
      <w:pgNumType w:fmt="decimal"/>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大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FDEE">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9649460</wp:posOffset>
              </wp:positionV>
              <wp:extent cx="100774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CB75E">
                          <w:pPr>
                            <w:pStyle w:val="12"/>
                            <w:jc w:val="center"/>
                            <w:rPr>
                              <w:rStyle w:val="21"/>
                              <w:rFonts w:hint="eastAsia" w:ascii="宋体" w:hAnsi="宋体" w:eastAsia="宋体"/>
                              <w:sz w:val="28"/>
                              <w:szCs w:val="28"/>
                            </w:rPr>
                          </w:pPr>
                          <w:r>
                            <w:rPr>
                              <w:rStyle w:val="21"/>
                              <w:rFonts w:hint="eastAsia" w:ascii="方正书宋_GBK" w:hAnsi="方正书宋_GBK" w:eastAsia="方正书宋_GBK" w:cs="方正书宋_GBK"/>
                              <w:sz w:val="28"/>
                              <w:szCs w:val="28"/>
                            </w:rPr>
                            <w:t xml:space="preserve">— </w:t>
                          </w:r>
                          <w:r>
                            <w:rPr>
                              <w:rStyle w:val="21"/>
                              <w:rFonts w:hint="eastAsia" w:ascii="方正书宋_GBK" w:hAnsi="方正书宋_GBK" w:eastAsia="方正书宋_GBK" w:cs="方正书宋_GBK"/>
                              <w:sz w:val="28"/>
                              <w:szCs w:val="28"/>
                            </w:rPr>
                            <w:fldChar w:fldCharType="begin"/>
                          </w:r>
                          <w:r>
                            <w:rPr>
                              <w:rStyle w:val="21"/>
                              <w:rFonts w:hint="eastAsia" w:ascii="方正书宋_GBK" w:hAnsi="方正书宋_GBK" w:eastAsia="方正书宋_GBK" w:cs="方正书宋_GBK"/>
                              <w:sz w:val="28"/>
                              <w:szCs w:val="28"/>
                            </w:rPr>
                            <w:instrText xml:space="preserve">PAGE  </w:instrText>
                          </w:r>
                          <w:r>
                            <w:rPr>
                              <w:rStyle w:val="21"/>
                              <w:rFonts w:hint="eastAsia" w:ascii="方正书宋_GBK" w:hAnsi="方正书宋_GBK" w:eastAsia="方正书宋_GBK" w:cs="方正书宋_GBK"/>
                              <w:sz w:val="28"/>
                              <w:szCs w:val="28"/>
                            </w:rPr>
                            <w:fldChar w:fldCharType="separate"/>
                          </w:r>
                          <w:r>
                            <w:rPr>
                              <w:rStyle w:val="21"/>
                              <w:rFonts w:hint="eastAsia" w:ascii="方正书宋_GBK" w:hAnsi="方正书宋_GBK" w:eastAsia="方正书宋_GBK" w:cs="方正书宋_GBK"/>
                              <w:sz w:val="28"/>
                              <w:szCs w:val="28"/>
                            </w:rPr>
                            <w:t>6</w:t>
                          </w:r>
                          <w:r>
                            <w:rPr>
                              <w:rStyle w:val="21"/>
                              <w:rFonts w:hint="eastAsia" w:ascii="方正书宋_GBK" w:hAnsi="方正书宋_GBK" w:eastAsia="方正书宋_GBK" w:cs="方正书宋_GBK"/>
                              <w:sz w:val="28"/>
                              <w:szCs w:val="28"/>
                            </w:rPr>
                            <w:fldChar w:fldCharType="end"/>
                          </w:r>
                          <w:r>
                            <w:rPr>
                              <w:rStyle w:val="21"/>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9.8pt;height:144pt;width:79.35pt;mso-position-horizontal:outside;mso-position-horizontal-relative:margin;mso-position-vertical-relative:page;z-index:251659264;mso-width-relative:page;mso-height-relative:page;" filled="f" stroked="f" coordsize="21600,21600" o:gfxdata="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5irVO2AAAAAoBAAAPAAAAAAAAAAEAIAAAACIAAABkcnMvZG93&#10;bnJldi54bWxQSwECFAAUAAAACACHTuJAfI6gMDkCAABjBAAADgAAAAAAAAABACAAAAAnAQAAZHJz&#10;L2Uyb0RvYy54bWxQSwUGAAAAAAYABgBZAQAA0gUAAAAA&#10;">
              <v:fill on="f" focussize="0,0"/>
              <v:stroke on="f" weight="0.5pt"/>
              <v:imagedata o:title=""/>
              <o:lock v:ext="edit" aspectratio="f"/>
              <v:textbox inset="0mm,0mm,0mm,0mm" style="mso-fit-shape-to-text:t;">
                <w:txbxContent>
                  <w:p w14:paraId="135CB75E">
                    <w:pPr>
                      <w:pStyle w:val="12"/>
                      <w:jc w:val="center"/>
                      <w:rPr>
                        <w:rStyle w:val="21"/>
                        <w:rFonts w:hint="eastAsia" w:ascii="宋体" w:hAnsi="宋体" w:eastAsia="宋体"/>
                        <w:sz w:val="28"/>
                        <w:szCs w:val="28"/>
                      </w:rPr>
                    </w:pPr>
                    <w:r>
                      <w:rPr>
                        <w:rStyle w:val="21"/>
                        <w:rFonts w:hint="eastAsia" w:ascii="方正书宋_GBK" w:hAnsi="方正书宋_GBK" w:eastAsia="方正书宋_GBK" w:cs="方正书宋_GBK"/>
                        <w:sz w:val="28"/>
                        <w:szCs w:val="28"/>
                      </w:rPr>
                      <w:t xml:space="preserve">— </w:t>
                    </w:r>
                    <w:r>
                      <w:rPr>
                        <w:rStyle w:val="21"/>
                        <w:rFonts w:hint="eastAsia" w:ascii="方正书宋_GBK" w:hAnsi="方正书宋_GBK" w:eastAsia="方正书宋_GBK" w:cs="方正书宋_GBK"/>
                        <w:sz w:val="28"/>
                        <w:szCs w:val="28"/>
                      </w:rPr>
                      <w:fldChar w:fldCharType="begin"/>
                    </w:r>
                    <w:r>
                      <w:rPr>
                        <w:rStyle w:val="21"/>
                        <w:rFonts w:hint="eastAsia" w:ascii="方正书宋_GBK" w:hAnsi="方正书宋_GBK" w:eastAsia="方正书宋_GBK" w:cs="方正书宋_GBK"/>
                        <w:sz w:val="28"/>
                        <w:szCs w:val="28"/>
                      </w:rPr>
                      <w:instrText xml:space="preserve">PAGE  </w:instrText>
                    </w:r>
                    <w:r>
                      <w:rPr>
                        <w:rStyle w:val="21"/>
                        <w:rFonts w:hint="eastAsia" w:ascii="方正书宋_GBK" w:hAnsi="方正书宋_GBK" w:eastAsia="方正书宋_GBK" w:cs="方正书宋_GBK"/>
                        <w:sz w:val="28"/>
                        <w:szCs w:val="28"/>
                      </w:rPr>
                      <w:fldChar w:fldCharType="separate"/>
                    </w:r>
                    <w:r>
                      <w:rPr>
                        <w:rStyle w:val="21"/>
                        <w:rFonts w:hint="eastAsia" w:ascii="方正书宋_GBK" w:hAnsi="方正书宋_GBK" w:eastAsia="方正书宋_GBK" w:cs="方正书宋_GBK"/>
                        <w:sz w:val="28"/>
                        <w:szCs w:val="28"/>
                      </w:rPr>
                      <w:t>6</w:t>
                    </w:r>
                    <w:r>
                      <w:rPr>
                        <w:rStyle w:val="21"/>
                        <w:rFonts w:hint="eastAsia" w:ascii="方正书宋_GBK" w:hAnsi="方正书宋_GBK" w:eastAsia="方正书宋_GBK" w:cs="方正书宋_GBK"/>
                        <w:sz w:val="28"/>
                        <w:szCs w:val="28"/>
                      </w:rPr>
                      <w:fldChar w:fldCharType="end"/>
                    </w:r>
                    <w:r>
                      <w:rPr>
                        <w:rStyle w:val="21"/>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7AF88">
    <w:pPr>
      <w:pStyle w:val="12"/>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14:paraId="7B43FE5E">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7"/>
  <w:drawingGridVerticalSpacing w:val="597"/>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TlmY2ExYTc1YWU5NjU4YzFhMTQ1NmFiZTNmZjcifQ=="/>
  </w:docVars>
  <w:rsids>
    <w:rsidRoot w:val="00C619BE"/>
    <w:rsid w:val="0000559D"/>
    <w:rsid w:val="0000562E"/>
    <w:rsid w:val="000100F7"/>
    <w:rsid w:val="000104E1"/>
    <w:rsid w:val="00011B67"/>
    <w:rsid w:val="00012534"/>
    <w:rsid w:val="00013AD5"/>
    <w:rsid w:val="00013FB0"/>
    <w:rsid w:val="00015136"/>
    <w:rsid w:val="00015B9B"/>
    <w:rsid w:val="00024689"/>
    <w:rsid w:val="0002528A"/>
    <w:rsid w:val="0002568C"/>
    <w:rsid w:val="0002726C"/>
    <w:rsid w:val="000301FE"/>
    <w:rsid w:val="0003056C"/>
    <w:rsid w:val="0003143C"/>
    <w:rsid w:val="00031BCD"/>
    <w:rsid w:val="000353AB"/>
    <w:rsid w:val="00040432"/>
    <w:rsid w:val="000437E9"/>
    <w:rsid w:val="00047550"/>
    <w:rsid w:val="000475DB"/>
    <w:rsid w:val="0005018D"/>
    <w:rsid w:val="00054152"/>
    <w:rsid w:val="00055315"/>
    <w:rsid w:val="00060AD6"/>
    <w:rsid w:val="000610EF"/>
    <w:rsid w:val="00070D82"/>
    <w:rsid w:val="000741B4"/>
    <w:rsid w:val="00075FBF"/>
    <w:rsid w:val="00077B99"/>
    <w:rsid w:val="000806D5"/>
    <w:rsid w:val="00080EFB"/>
    <w:rsid w:val="0008615E"/>
    <w:rsid w:val="00092A83"/>
    <w:rsid w:val="00094A99"/>
    <w:rsid w:val="000A032D"/>
    <w:rsid w:val="000A3BD7"/>
    <w:rsid w:val="000B09DB"/>
    <w:rsid w:val="000B0C73"/>
    <w:rsid w:val="000B1ABB"/>
    <w:rsid w:val="000B242F"/>
    <w:rsid w:val="000C0167"/>
    <w:rsid w:val="000C38D2"/>
    <w:rsid w:val="000D6E30"/>
    <w:rsid w:val="000E358B"/>
    <w:rsid w:val="000E588F"/>
    <w:rsid w:val="000F13F6"/>
    <w:rsid w:val="000F19B5"/>
    <w:rsid w:val="001008B6"/>
    <w:rsid w:val="00102AF7"/>
    <w:rsid w:val="00106D98"/>
    <w:rsid w:val="001072E7"/>
    <w:rsid w:val="001170D1"/>
    <w:rsid w:val="00122D7F"/>
    <w:rsid w:val="001255CC"/>
    <w:rsid w:val="001259AC"/>
    <w:rsid w:val="00125A0F"/>
    <w:rsid w:val="0014292E"/>
    <w:rsid w:val="001533D3"/>
    <w:rsid w:val="00154F80"/>
    <w:rsid w:val="001570E6"/>
    <w:rsid w:val="00160571"/>
    <w:rsid w:val="00173BAC"/>
    <w:rsid w:val="00176C2C"/>
    <w:rsid w:val="001822F6"/>
    <w:rsid w:val="00182D07"/>
    <w:rsid w:val="0018452B"/>
    <w:rsid w:val="00191036"/>
    <w:rsid w:val="00191E80"/>
    <w:rsid w:val="00195106"/>
    <w:rsid w:val="001A4471"/>
    <w:rsid w:val="001A4602"/>
    <w:rsid w:val="001B1C3B"/>
    <w:rsid w:val="001B2073"/>
    <w:rsid w:val="001B3100"/>
    <w:rsid w:val="001C13ED"/>
    <w:rsid w:val="001C2131"/>
    <w:rsid w:val="001C4FDD"/>
    <w:rsid w:val="001C7846"/>
    <w:rsid w:val="001D3035"/>
    <w:rsid w:val="001D3691"/>
    <w:rsid w:val="001D4935"/>
    <w:rsid w:val="001D67AA"/>
    <w:rsid w:val="001E6A96"/>
    <w:rsid w:val="001F0B85"/>
    <w:rsid w:val="001F292D"/>
    <w:rsid w:val="001F2F8C"/>
    <w:rsid w:val="001F5442"/>
    <w:rsid w:val="001F7805"/>
    <w:rsid w:val="002058A3"/>
    <w:rsid w:val="00206BE6"/>
    <w:rsid w:val="00211E39"/>
    <w:rsid w:val="00215D8F"/>
    <w:rsid w:val="00217D7B"/>
    <w:rsid w:val="00217F02"/>
    <w:rsid w:val="00223D04"/>
    <w:rsid w:val="0022475A"/>
    <w:rsid w:val="002260D9"/>
    <w:rsid w:val="00230D56"/>
    <w:rsid w:val="00232E5A"/>
    <w:rsid w:val="002411FD"/>
    <w:rsid w:val="0024194E"/>
    <w:rsid w:val="00243C56"/>
    <w:rsid w:val="0025792E"/>
    <w:rsid w:val="00257DCE"/>
    <w:rsid w:val="002716A8"/>
    <w:rsid w:val="00275BB5"/>
    <w:rsid w:val="00284066"/>
    <w:rsid w:val="00287540"/>
    <w:rsid w:val="002931B8"/>
    <w:rsid w:val="002937FB"/>
    <w:rsid w:val="00297B4E"/>
    <w:rsid w:val="00297FCC"/>
    <w:rsid w:val="002A1EE2"/>
    <w:rsid w:val="002A6559"/>
    <w:rsid w:val="002B121B"/>
    <w:rsid w:val="002B1A78"/>
    <w:rsid w:val="002B2669"/>
    <w:rsid w:val="002E174C"/>
    <w:rsid w:val="002E2E83"/>
    <w:rsid w:val="002E37DE"/>
    <w:rsid w:val="002E42AE"/>
    <w:rsid w:val="002E7661"/>
    <w:rsid w:val="002F2CD7"/>
    <w:rsid w:val="002F7895"/>
    <w:rsid w:val="00300443"/>
    <w:rsid w:val="003004BB"/>
    <w:rsid w:val="00303ACA"/>
    <w:rsid w:val="003140DE"/>
    <w:rsid w:val="00315031"/>
    <w:rsid w:val="00320F5E"/>
    <w:rsid w:val="00327F8D"/>
    <w:rsid w:val="0033099F"/>
    <w:rsid w:val="00333585"/>
    <w:rsid w:val="0034379B"/>
    <w:rsid w:val="00351605"/>
    <w:rsid w:val="00351AEC"/>
    <w:rsid w:val="003540CC"/>
    <w:rsid w:val="0035599D"/>
    <w:rsid w:val="00356C62"/>
    <w:rsid w:val="00360AF0"/>
    <w:rsid w:val="003614BA"/>
    <w:rsid w:val="00372710"/>
    <w:rsid w:val="00372D13"/>
    <w:rsid w:val="00374BF0"/>
    <w:rsid w:val="00376E5D"/>
    <w:rsid w:val="00377C0A"/>
    <w:rsid w:val="00381CC1"/>
    <w:rsid w:val="00384160"/>
    <w:rsid w:val="0038448E"/>
    <w:rsid w:val="00390270"/>
    <w:rsid w:val="0039376B"/>
    <w:rsid w:val="0039693C"/>
    <w:rsid w:val="00397A77"/>
    <w:rsid w:val="003A24C3"/>
    <w:rsid w:val="003A297A"/>
    <w:rsid w:val="003B4E06"/>
    <w:rsid w:val="003C2DB9"/>
    <w:rsid w:val="003C5592"/>
    <w:rsid w:val="003D1650"/>
    <w:rsid w:val="003D1A51"/>
    <w:rsid w:val="003D1E28"/>
    <w:rsid w:val="003D44ED"/>
    <w:rsid w:val="003E190C"/>
    <w:rsid w:val="003E2198"/>
    <w:rsid w:val="003E6633"/>
    <w:rsid w:val="003F66E7"/>
    <w:rsid w:val="003F7DF5"/>
    <w:rsid w:val="00400976"/>
    <w:rsid w:val="004062B6"/>
    <w:rsid w:val="00411EB1"/>
    <w:rsid w:val="0041338E"/>
    <w:rsid w:val="004140CF"/>
    <w:rsid w:val="00415539"/>
    <w:rsid w:val="004161B0"/>
    <w:rsid w:val="00430B39"/>
    <w:rsid w:val="00437CB1"/>
    <w:rsid w:val="00440EA7"/>
    <w:rsid w:val="00443FE4"/>
    <w:rsid w:val="00444D7B"/>
    <w:rsid w:val="004669E6"/>
    <w:rsid w:val="004702AF"/>
    <w:rsid w:val="00471B08"/>
    <w:rsid w:val="004753AE"/>
    <w:rsid w:val="00477D37"/>
    <w:rsid w:val="00483181"/>
    <w:rsid w:val="00483647"/>
    <w:rsid w:val="00486AB4"/>
    <w:rsid w:val="00487C28"/>
    <w:rsid w:val="0049002E"/>
    <w:rsid w:val="00491AA4"/>
    <w:rsid w:val="00491F99"/>
    <w:rsid w:val="0049779C"/>
    <w:rsid w:val="004A21B9"/>
    <w:rsid w:val="004A3BA5"/>
    <w:rsid w:val="004B02C8"/>
    <w:rsid w:val="004B0E84"/>
    <w:rsid w:val="004B4CC8"/>
    <w:rsid w:val="004B56D6"/>
    <w:rsid w:val="004C3DBF"/>
    <w:rsid w:val="004D00D5"/>
    <w:rsid w:val="004D2A73"/>
    <w:rsid w:val="004D34D8"/>
    <w:rsid w:val="004D56C7"/>
    <w:rsid w:val="004E29E7"/>
    <w:rsid w:val="004F0F71"/>
    <w:rsid w:val="004F21AF"/>
    <w:rsid w:val="004F4D66"/>
    <w:rsid w:val="004F4EA7"/>
    <w:rsid w:val="004F5419"/>
    <w:rsid w:val="004F663C"/>
    <w:rsid w:val="004F68D3"/>
    <w:rsid w:val="005002D2"/>
    <w:rsid w:val="005017E0"/>
    <w:rsid w:val="00506D42"/>
    <w:rsid w:val="00514136"/>
    <w:rsid w:val="0051473E"/>
    <w:rsid w:val="005175EB"/>
    <w:rsid w:val="00523785"/>
    <w:rsid w:val="00526F7B"/>
    <w:rsid w:val="00530EA2"/>
    <w:rsid w:val="00531353"/>
    <w:rsid w:val="005347E0"/>
    <w:rsid w:val="0053537B"/>
    <w:rsid w:val="00540619"/>
    <w:rsid w:val="00547A39"/>
    <w:rsid w:val="00556DC6"/>
    <w:rsid w:val="00560D0E"/>
    <w:rsid w:val="005613F3"/>
    <w:rsid w:val="00562B38"/>
    <w:rsid w:val="00563BFD"/>
    <w:rsid w:val="00565215"/>
    <w:rsid w:val="00565864"/>
    <w:rsid w:val="0056679C"/>
    <w:rsid w:val="00567CEA"/>
    <w:rsid w:val="00571834"/>
    <w:rsid w:val="00572A66"/>
    <w:rsid w:val="005746CD"/>
    <w:rsid w:val="00574FAE"/>
    <w:rsid w:val="005774B6"/>
    <w:rsid w:val="00580E39"/>
    <w:rsid w:val="005815A2"/>
    <w:rsid w:val="0058430D"/>
    <w:rsid w:val="00591FC9"/>
    <w:rsid w:val="00592D16"/>
    <w:rsid w:val="0059403E"/>
    <w:rsid w:val="005969F8"/>
    <w:rsid w:val="005A0223"/>
    <w:rsid w:val="005A1D4B"/>
    <w:rsid w:val="005A4A2F"/>
    <w:rsid w:val="005A75CD"/>
    <w:rsid w:val="005A7D13"/>
    <w:rsid w:val="005A7F23"/>
    <w:rsid w:val="005B303E"/>
    <w:rsid w:val="005B5934"/>
    <w:rsid w:val="005C4D71"/>
    <w:rsid w:val="005C5934"/>
    <w:rsid w:val="005D027C"/>
    <w:rsid w:val="005D12CE"/>
    <w:rsid w:val="005D2C4A"/>
    <w:rsid w:val="005D2EF0"/>
    <w:rsid w:val="005D734A"/>
    <w:rsid w:val="005F3990"/>
    <w:rsid w:val="005F7A3B"/>
    <w:rsid w:val="006005A6"/>
    <w:rsid w:val="00601C43"/>
    <w:rsid w:val="006055EF"/>
    <w:rsid w:val="00611ADA"/>
    <w:rsid w:val="00614647"/>
    <w:rsid w:val="00614757"/>
    <w:rsid w:val="0062214A"/>
    <w:rsid w:val="006246F9"/>
    <w:rsid w:val="00626151"/>
    <w:rsid w:val="00626620"/>
    <w:rsid w:val="00626A39"/>
    <w:rsid w:val="00635471"/>
    <w:rsid w:val="0064072B"/>
    <w:rsid w:val="00645719"/>
    <w:rsid w:val="00651F90"/>
    <w:rsid w:val="00655481"/>
    <w:rsid w:val="00656066"/>
    <w:rsid w:val="0066173C"/>
    <w:rsid w:val="0066509B"/>
    <w:rsid w:val="00665773"/>
    <w:rsid w:val="00670241"/>
    <w:rsid w:val="0067035C"/>
    <w:rsid w:val="006716E3"/>
    <w:rsid w:val="006716EB"/>
    <w:rsid w:val="006766E5"/>
    <w:rsid w:val="00677682"/>
    <w:rsid w:val="00677BD6"/>
    <w:rsid w:val="0068535F"/>
    <w:rsid w:val="00685FF9"/>
    <w:rsid w:val="006864C6"/>
    <w:rsid w:val="0069771B"/>
    <w:rsid w:val="006A120E"/>
    <w:rsid w:val="006A1DB9"/>
    <w:rsid w:val="006A498A"/>
    <w:rsid w:val="006A515F"/>
    <w:rsid w:val="006B0296"/>
    <w:rsid w:val="006B133B"/>
    <w:rsid w:val="006B1B4B"/>
    <w:rsid w:val="006B5BDF"/>
    <w:rsid w:val="006C0B72"/>
    <w:rsid w:val="006C453C"/>
    <w:rsid w:val="006F1A6C"/>
    <w:rsid w:val="006F3905"/>
    <w:rsid w:val="006F3DA4"/>
    <w:rsid w:val="006F63DB"/>
    <w:rsid w:val="00710907"/>
    <w:rsid w:val="00711AA7"/>
    <w:rsid w:val="00715281"/>
    <w:rsid w:val="0071721C"/>
    <w:rsid w:val="00720436"/>
    <w:rsid w:val="0072321E"/>
    <w:rsid w:val="00725BE2"/>
    <w:rsid w:val="00731098"/>
    <w:rsid w:val="007329EB"/>
    <w:rsid w:val="00733E77"/>
    <w:rsid w:val="00734C92"/>
    <w:rsid w:val="00734D45"/>
    <w:rsid w:val="00735CDF"/>
    <w:rsid w:val="00736223"/>
    <w:rsid w:val="00736315"/>
    <w:rsid w:val="00737B27"/>
    <w:rsid w:val="00740614"/>
    <w:rsid w:val="007422EC"/>
    <w:rsid w:val="0074264C"/>
    <w:rsid w:val="00743217"/>
    <w:rsid w:val="007432DA"/>
    <w:rsid w:val="00750F17"/>
    <w:rsid w:val="00754989"/>
    <w:rsid w:val="00754D0C"/>
    <w:rsid w:val="00756EB4"/>
    <w:rsid w:val="00763519"/>
    <w:rsid w:val="00764F8F"/>
    <w:rsid w:val="00767109"/>
    <w:rsid w:val="00773F8A"/>
    <w:rsid w:val="00774DFC"/>
    <w:rsid w:val="00775A90"/>
    <w:rsid w:val="0079397A"/>
    <w:rsid w:val="00795522"/>
    <w:rsid w:val="007957B0"/>
    <w:rsid w:val="007973EF"/>
    <w:rsid w:val="007A1B9C"/>
    <w:rsid w:val="007B3C77"/>
    <w:rsid w:val="007B594B"/>
    <w:rsid w:val="007C0522"/>
    <w:rsid w:val="007C7E95"/>
    <w:rsid w:val="007D1DE6"/>
    <w:rsid w:val="007D4C70"/>
    <w:rsid w:val="007D636E"/>
    <w:rsid w:val="007E0FF5"/>
    <w:rsid w:val="007E3406"/>
    <w:rsid w:val="007E3D0E"/>
    <w:rsid w:val="007E5028"/>
    <w:rsid w:val="007F0B17"/>
    <w:rsid w:val="007F130F"/>
    <w:rsid w:val="007F7334"/>
    <w:rsid w:val="007F75AC"/>
    <w:rsid w:val="008106BD"/>
    <w:rsid w:val="0081271A"/>
    <w:rsid w:val="00812CE2"/>
    <w:rsid w:val="00812EA4"/>
    <w:rsid w:val="00813743"/>
    <w:rsid w:val="008173B0"/>
    <w:rsid w:val="0082330B"/>
    <w:rsid w:val="00824A69"/>
    <w:rsid w:val="008250A3"/>
    <w:rsid w:val="008378B0"/>
    <w:rsid w:val="008425B2"/>
    <w:rsid w:val="00842CC9"/>
    <w:rsid w:val="008430F5"/>
    <w:rsid w:val="008447F2"/>
    <w:rsid w:val="008456E7"/>
    <w:rsid w:val="008501D9"/>
    <w:rsid w:val="00852B9D"/>
    <w:rsid w:val="00853D71"/>
    <w:rsid w:val="00854E90"/>
    <w:rsid w:val="008574EC"/>
    <w:rsid w:val="00863DA6"/>
    <w:rsid w:val="00865BB5"/>
    <w:rsid w:val="00872C28"/>
    <w:rsid w:val="00874881"/>
    <w:rsid w:val="00875A4A"/>
    <w:rsid w:val="00876594"/>
    <w:rsid w:val="00876CE1"/>
    <w:rsid w:val="00876D72"/>
    <w:rsid w:val="008836EF"/>
    <w:rsid w:val="00895A7C"/>
    <w:rsid w:val="008A7F72"/>
    <w:rsid w:val="008B491F"/>
    <w:rsid w:val="008B68A3"/>
    <w:rsid w:val="008D43FB"/>
    <w:rsid w:val="008D545F"/>
    <w:rsid w:val="008D6B87"/>
    <w:rsid w:val="008E2F0F"/>
    <w:rsid w:val="008E30F8"/>
    <w:rsid w:val="008E7C6C"/>
    <w:rsid w:val="008F015D"/>
    <w:rsid w:val="008F0FA4"/>
    <w:rsid w:val="008F2DFE"/>
    <w:rsid w:val="008F36DA"/>
    <w:rsid w:val="008F505F"/>
    <w:rsid w:val="008F6095"/>
    <w:rsid w:val="008F741D"/>
    <w:rsid w:val="00905597"/>
    <w:rsid w:val="0091174C"/>
    <w:rsid w:val="00912C42"/>
    <w:rsid w:val="009140F2"/>
    <w:rsid w:val="009165EE"/>
    <w:rsid w:val="00930F78"/>
    <w:rsid w:val="00934B2C"/>
    <w:rsid w:val="009370BB"/>
    <w:rsid w:val="009441AC"/>
    <w:rsid w:val="00944B35"/>
    <w:rsid w:val="00944C5E"/>
    <w:rsid w:val="00945AE3"/>
    <w:rsid w:val="00952CCF"/>
    <w:rsid w:val="00952DC3"/>
    <w:rsid w:val="00955D86"/>
    <w:rsid w:val="0095608F"/>
    <w:rsid w:val="009625FD"/>
    <w:rsid w:val="009647B4"/>
    <w:rsid w:val="00977745"/>
    <w:rsid w:val="0098153A"/>
    <w:rsid w:val="00983256"/>
    <w:rsid w:val="00985A4A"/>
    <w:rsid w:val="00990E3D"/>
    <w:rsid w:val="0099181B"/>
    <w:rsid w:val="009A7873"/>
    <w:rsid w:val="009B2743"/>
    <w:rsid w:val="009C3B0A"/>
    <w:rsid w:val="009D17DB"/>
    <w:rsid w:val="009E0521"/>
    <w:rsid w:val="009E6BB1"/>
    <w:rsid w:val="009E7E53"/>
    <w:rsid w:val="009F4096"/>
    <w:rsid w:val="009F4DC7"/>
    <w:rsid w:val="00A02F54"/>
    <w:rsid w:val="00A03D9C"/>
    <w:rsid w:val="00A0619D"/>
    <w:rsid w:val="00A15BE0"/>
    <w:rsid w:val="00A201A6"/>
    <w:rsid w:val="00A27299"/>
    <w:rsid w:val="00A37B04"/>
    <w:rsid w:val="00A43C62"/>
    <w:rsid w:val="00A44E83"/>
    <w:rsid w:val="00A450D6"/>
    <w:rsid w:val="00A47B42"/>
    <w:rsid w:val="00A51EFB"/>
    <w:rsid w:val="00A57918"/>
    <w:rsid w:val="00A61D94"/>
    <w:rsid w:val="00A64D4B"/>
    <w:rsid w:val="00A67AD5"/>
    <w:rsid w:val="00A80CAB"/>
    <w:rsid w:val="00A827EB"/>
    <w:rsid w:val="00A87664"/>
    <w:rsid w:val="00A96D65"/>
    <w:rsid w:val="00AA0351"/>
    <w:rsid w:val="00AA5B77"/>
    <w:rsid w:val="00AB0B57"/>
    <w:rsid w:val="00AB11D6"/>
    <w:rsid w:val="00AB35FA"/>
    <w:rsid w:val="00AB7D9A"/>
    <w:rsid w:val="00AC3890"/>
    <w:rsid w:val="00AC798D"/>
    <w:rsid w:val="00AD055F"/>
    <w:rsid w:val="00AD0FC9"/>
    <w:rsid w:val="00AD6E73"/>
    <w:rsid w:val="00AE2EED"/>
    <w:rsid w:val="00AE49AF"/>
    <w:rsid w:val="00AF2DB4"/>
    <w:rsid w:val="00AF485F"/>
    <w:rsid w:val="00AF56A1"/>
    <w:rsid w:val="00AF5EC4"/>
    <w:rsid w:val="00B04EFF"/>
    <w:rsid w:val="00B0783E"/>
    <w:rsid w:val="00B113AC"/>
    <w:rsid w:val="00B122E0"/>
    <w:rsid w:val="00B16858"/>
    <w:rsid w:val="00B243B5"/>
    <w:rsid w:val="00B30366"/>
    <w:rsid w:val="00B31D3A"/>
    <w:rsid w:val="00B3295A"/>
    <w:rsid w:val="00B3560B"/>
    <w:rsid w:val="00B369C8"/>
    <w:rsid w:val="00B3752A"/>
    <w:rsid w:val="00B45B7E"/>
    <w:rsid w:val="00B46914"/>
    <w:rsid w:val="00B50637"/>
    <w:rsid w:val="00B57011"/>
    <w:rsid w:val="00B61D91"/>
    <w:rsid w:val="00B6398F"/>
    <w:rsid w:val="00B64140"/>
    <w:rsid w:val="00B70B9A"/>
    <w:rsid w:val="00B77617"/>
    <w:rsid w:val="00B8283F"/>
    <w:rsid w:val="00B83FF6"/>
    <w:rsid w:val="00B84B29"/>
    <w:rsid w:val="00B85E2F"/>
    <w:rsid w:val="00B864EA"/>
    <w:rsid w:val="00B87206"/>
    <w:rsid w:val="00B95977"/>
    <w:rsid w:val="00B97EFB"/>
    <w:rsid w:val="00BA000F"/>
    <w:rsid w:val="00BA19D0"/>
    <w:rsid w:val="00BB0B3B"/>
    <w:rsid w:val="00BB235F"/>
    <w:rsid w:val="00BB2448"/>
    <w:rsid w:val="00BB25C4"/>
    <w:rsid w:val="00BB41A2"/>
    <w:rsid w:val="00BB4E67"/>
    <w:rsid w:val="00BC26D4"/>
    <w:rsid w:val="00BC5D14"/>
    <w:rsid w:val="00BD1DC8"/>
    <w:rsid w:val="00BD2C92"/>
    <w:rsid w:val="00BD50B9"/>
    <w:rsid w:val="00BE5331"/>
    <w:rsid w:val="00BF09D8"/>
    <w:rsid w:val="00BF13D6"/>
    <w:rsid w:val="00BF30AF"/>
    <w:rsid w:val="00C04C1A"/>
    <w:rsid w:val="00C14834"/>
    <w:rsid w:val="00C1487E"/>
    <w:rsid w:val="00C15868"/>
    <w:rsid w:val="00C2058F"/>
    <w:rsid w:val="00C2168A"/>
    <w:rsid w:val="00C2612E"/>
    <w:rsid w:val="00C30393"/>
    <w:rsid w:val="00C350F9"/>
    <w:rsid w:val="00C35319"/>
    <w:rsid w:val="00C430F1"/>
    <w:rsid w:val="00C4608A"/>
    <w:rsid w:val="00C546D1"/>
    <w:rsid w:val="00C567E9"/>
    <w:rsid w:val="00C619BE"/>
    <w:rsid w:val="00C65200"/>
    <w:rsid w:val="00C65D66"/>
    <w:rsid w:val="00C6744E"/>
    <w:rsid w:val="00C700B5"/>
    <w:rsid w:val="00C70B63"/>
    <w:rsid w:val="00C7346D"/>
    <w:rsid w:val="00C7539D"/>
    <w:rsid w:val="00C759D6"/>
    <w:rsid w:val="00C77502"/>
    <w:rsid w:val="00C81281"/>
    <w:rsid w:val="00C853EC"/>
    <w:rsid w:val="00C865FF"/>
    <w:rsid w:val="00C86D9B"/>
    <w:rsid w:val="00C93C07"/>
    <w:rsid w:val="00C964E0"/>
    <w:rsid w:val="00C96BFC"/>
    <w:rsid w:val="00C9715A"/>
    <w:rsid w:val="00CA0262"/>
    <w:rsid w:val="00CA2B05"/>
    <w:rsid w:val="00CB030E"/>
    <w:rsid w:val="00CC07F8"/>
    <w:rsid w:val="00CC72A1"/>
    <w:rsid w:val="00CC72FA"/>
    <w:rsid w:val="00CD1785"/>
    <w:rsid w:val="00CD25D1"/>
    <w:rsid w:val="00CD6AF5"/>
    <w:rsid w:val="00CE1114"/>
    <w:rsid w:val="00CE1C0B"/>
    <w:rsid w:val="00CE26DF"/>
    <w:rsid w:val="00CE3C05"/>
    <w:rsid w:val="00CE5628"/>
    <w:rsid w:val="00CE6D02"/>
    <w:rsid w:val="00CF0D05"/>
    <w:rsid w:val="00CF2CE6"/>
    <w:rsid w:val="00CF4277"/>
    <w:rsid w:val="00CF50C2"/>
    <w:rsid w:val="00CF7941"/>
    <w:rsid w:val="00D03C50"/>
    <w:rsid w:val="00D1074E"/>
    <w:rsid w:val="00D10996"/>
    <w:rsid w:val="00D13435"/>
    <w:rsid w:val="00D13EFD"/>
    <w:rsid w:val="00D14353"/>
    <w:rsid w:val="00D17A3B"/>
    <w:rsid w:val="00D17FBC"/>
    <w:rsid w:val="00D217A2"/>
    <w:rsid w:val="00D2280F"/>
    <w:rsid w:val="00D23D2C"/>
    <w:rsid w:val="00D2797A"/>
    <w:rsid w:val="00D30F9A"/>
    <w:rsid w:val="00D32E37"/>
    <w:rsid w:val="00D3741B"/>
    <w:rsid w:val="00D43ED6"/>
    <w:rsid w:val="00D46D7A"/>
    <w:rsid w:val="00D5437D"/>
    <w:rsid w:val="00D54DE4"/>
    <w:rsid w:val="00D551BA"/>
    <w:rsid w:val="00D5786E"/>
    <w:rsid w:val="00D6352B"/>
    <w:rsid w:val="00D669A6"/>
    <w:rsid w:val="00D66BDB"/>
    <w:rsid w:val="00D72030"/>
    <w:rsid w:val="00D90BEB"/>
    <w:rsid w:val="00D95628"/>
    <w:rsid w:val="00D97972"/>
    <w:rsid w:val="00DA2F98"/>
    <w:rsid w:val="00DA3E36"/>
    <w:rsid w:val="00DA4202"/>
    <w:rsid w:val="00DA4EA8"/>
    <w:rsid w:val="00DB3F96"/>
    <w:rsid w:val="00DC3C4F"/>
    <w:rsid w:val="00DC5F57"/>
    <w:rsid w:val="00DC7206"/>
    <w:rsid w:val="00DC7C8A"/>
    <w:rsid w:val="00DD39FA"/>
    <w:rsid w:val="00DD3A93"/>
    <w:rsid w:val="00DD488A"/>
    <w:rsid w:val="00DD5C2D"/>
    <w:rsid w:val="00DE1B26"/>
    <w:rsid w:val="00DE3589"/>
    <w:rsid w:val="00DE43BE"/>
    <w:rsid w:val="00DE5346"/>
    <w:rsid w:val="00DF4174"/>
    <w:rsid w:val="00DF5E81"/>
    <w:rsid w:val="00E03277"/>
    <w:rsid w:val="00E04B7A"/>
    <w:rsid w:val="00E114D6"/>
    <w:rsid w:val="00E2343B"/>
    <w:rsid w:val="00E32DB7"/>
    <w:rsid w:val="00E34AC9"/>
    <w:rsid w:val="00E361AE"/>
    <w:rsid w:val="00E37A2D"/>
    <w:rsid w:val="00E41C55"/>
    <w:rsid w:val="00E44AB7"/>
    <w:rsid w:val="00E4696B"/>
    <w:rsid w:val="00E46A7D"/>
    <w:rsid w:val="00E51277"/>
    <w:rsid w:val="00E51DDC"/>
    <w:rsid w:val="00E53363"/>
    <w:rsid w:val="00E57CDC"/>
    <w:rsid w:val="00E60AB2"/>
    <w:rsid w:val="00E67D41"/>
    <w:rsid w:val="00E703F3"/>
    <w:rsid w:val="00E74391"/>
    <w:rsid w:val="00E834F1"/>
    <w:rsid w:val="00E8581C"/>
    <w:rsid w:val="00E86858"/>
    <w:rsid w:val="00E954F3"/>
    <w:rsid w:val="00E97983"/>
    <w:rsid w:val="00E97AA6"/>
    <w:rsid w:val="00EA12B6"/>
    <w:rsid w:val="00EA4B79"/>
    <w:rsid w:val="00EA5186"/>
    <w:rsid w:val="00EA7013"/>
    <w:rsid w:val="00EB6242"/>
    <w:rsid w:val="00EB6987"/>
    <w:rsid w:val="00EC2EBD"/>
    <w:rsid w:val="00EC6D80"/>
    <w:rsid w:val="00ED1840"/>
    <w:rsid w:val="00ED2A3B"/>
    <w:rsid w:val="00ED3448"/>
    <w:rsid w:val="00EE4111"/>
    <w:rsid w:val="00EE462B"/>
    <w:rsid w:val="00EE7045"/>
    <w:rsid w:val="00EF1B6F"/>
    <w:rsid w:val="00EF3C4F"/>
    <w:rsid w:val="00F02C99"/>
    <w:rsid w:val="00F03FBD"/>
    <w:rsid w:val="00F1174B"/>
    <w:rsid w:val="00F216D7"/>
    <w:rsid w:val="00F23596"/>
    <w:rsid w:val="00F250CD"/>
    <w:rsid w:val="00F2665F"/>
    <w:rsid w:val="00F30494"/>
    <w:rsid w:val="00F308E6"/>
    <w:rsid w:val="00F30EB2"/>
    <w:rsid w:val="00F34BEE"/>
    <w:rsid w:val="00F35CC5"/>
    <w:rsid w:val="00F36D09"/>
    <w:rsid w:val="00F4128B"/>
    <w:rsid w:val="00F47823"/>
    <w:rsid w:val="00F5255A"/>
    <w:rsid w:val="00F52740"/>
    <w:rsid w:val="00F529B7"/>
    <w:rsid w:val="00F57FCF"/>
    <w:rsid w:val="00F60BAC"/>
    <w:rsid w:val="00F60DB8"/>
    <w:rsid w:val="00F70A20"/>
    <w:rsid w:val="00F752C6"/>
    <w:rsid w:val="00F762FB"/>
    <w:rsid w:val="00F77C8D"/>
    <w:rsid w:val="00F86F01"/>
    <w:rsid w:val="00F954B0"/>
    <w:rsid w:val="00F95610"/>
    <w:rsid w:val="00FA0607"/>
    <w:rsid w:val="00FA06BA"/>
    <w:rsid w:val="00FA0E91"/>
    <w:rsid w:val="00FA7583"/>
    <w:rsid w:val="00FB152C"/>
    <w:rsid w:val="00FB5B9F"/>
    <w:rsid w:val="00FB5BDC"/>
    <w:rsid w:val="00FB75FF"/>
    <w:rsid w:val="00FC0C61"/>
    <w:rsid w:val="00FC1C22"/>
    <w:rsid w:val="00FC20AF"/>
    <w:rsid w:val="00FD0CF2"/>
    <w:rsid w:val="00FD1DAC"/>
    <w:rsid w:val="00FD4CFC"/>
    <w:rsid w:val="00FD67E1"/>
    <w:rsid w:val="00FE0BD9"/>
    <w:rsid w:val="00FF4AD7"/>
    <w:rsid w:val="00FF72EA"/>
    <w:rsid w:val="06F965AD"/>
    <w:rsid w:val="0FD54B84"/>
    <w:rsid w:val="13596FCB"/>
    <w:rsid w:val="149A39B8"/>
    <w:rsid w:val="2A537A08"/>
    <w:rsid w:val="2E2C1DC4"/>
    <w:rsid w:val="4068715A"/>
    <w:rsid w:val="47C21AC5"/>
    <w:rsid w:val="4A322A3A"/>
    <w:rsid w:val="4CB77E77"/>
    <w:rsid w:val="5843123C"/>
    <w:rsid w:val="5CE602F1"/>
    <w:rsid w:val="79907C4E"/>
    <w:rsid w:val="7A30419E"/>
    <w:rsid w:val="FFBB43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3"/>
    <w:qFormat/>
    <w:uiPriority w:val="0"/>
    <w:pPr>
      <w:keepNext/>
      <w:keepLines/>
      <w:spacing w:before="340" w:after="330" w:line="576" w:lineRule="auto"/>
      <w:outlineLvl w:val="0"/>
    </w:pPr>
    <w:rPr>
      <w:rFonts w:eastAsia="宋体"/>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b/>
      <w:bCs/>
    </w:rPr>
  </w:style>
  <w:style w:type="paragraph" w:styleId="4">
    <w:name w:val="heading 3"/>
    <w:basedOn w:val="1"/>
    <w:next w:val="1"/>
    <w:uiPriority w:val="0"/>
    <w:pPr>
      <w:keepNext/>
      <w:keepLines/>
      <w:spacing w:before="260" w:after="260" w:line="412" w:lineRule="auto"/>
      <w:outlineLvl w:val="2"/>
    </w:pPr>
    <w:rPr>
      <w:rFonts w:eastAsia="宋体"/>
      <w:b/>
      <w:bCs/>
    </w:rPr>
  </w:style>
  <w:style w:type="paragraph" w:styleId="5">
    <w:name w:val="heading 4"/>
    <w:basedOn w:val="1"/>
    <w:next w:val="1"/>
    <w:link w:val="25"/>
    <w:uiPriority w:val="0"/>
    <w:pPr>
      <w:keepNext/>
      <w:keepLines/>
      <w:spacing w:before="280" w:after="290" w:line="360" w:lineRule="auto"/>
      <w:outlineLvl w:val="3"/>
    </w:pPr>
    <w:rPr>
      <w:rFonts w:ascii="宋体" w:hAnsi="宋体" w:eastAsia="宋体"/>
      <w:b/>
      <w:bCs/>
      <w:sz w:val="28"/>
      <w:szCs w:val="24"/>
    </w:rPr>
  </w:style>
  <w:style w:type="character" w:default="1" w:styleId="19">
    <w:name w:val="Default Paragraph Font"/>
    <w:link w:val="20"/>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uiPriority w:val="0"/>
    <w:pPr>
      <w:ind w:firstLine="420" w:firstLineChars="200"/>
    </w:pPr>
  </w:style>
  <w:style w:type="paragraph" w:styleId="7">
    <w:name w:val="Body Text Indent"/>
    <w:basedOn w:val="1"/>
    <w:link w:val="26"/>
    <w:qFormat/>
    <w:uiPriority w:val="0"/>
    <w:pPr>
      <w:ind w:firstLine="640" w:firstLineChars="200"/>
    </w:pPr>
    <w:rPr>
      <w:szCs w:val="24"/>
    </w:rPr>
  </w:style>
  <w:style w:type="paragraph" w:styleId="8">
    <w:name w:val="toc 3"/>
    <w:basedOn w:val="1"/>
    <w:next w:val="1"/>
    <w:semiHidden/>
    <w:qFormat/>
    <w:uiPriority w:val="0"/>
    <w:pPr>
      <w:ind w:left="420"/>
      <w:jc w:val="left"/>
    </w:pPr>
    <w:rPr>
      <w:rFonts w:eastAsia="宋体"/>
      <w:i/>
      <w:iCs/>
      <w:sz w:val="20"/>
      <w:szCs w:val="20"/>
    </w:rPr>
  </w:style>
  <w:style w:type="paragraph" w:styleId="9">
    <w:name w:val="Plain Text"/>
    <w:basedOn w:val="1"/>
    <w:uiPriority w:val="0"/>
    <w:rPr>
      <w:rFonts w:ascii="宋体" w:hAnsi="Courier New" w:eastAsia="宋体"/>
      <w:sz w:val="21"/>
      <w:szCs w:val="2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link w:val="28"/>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302"/>
      </w:tabs>
      <w:spacing w:before="120" w:after="120" w:line="560" w:lineRule="exact"/>
      <w:jc w:val="left"/>
    </w:pPr>
    <w:rPr>
      <w:rFonts w:ascii="仿宋_GB2312"/>
      <w:b/>
      <w:bCs/>
      <w:caps/>
      <w:sz w:val="28"/>
      <w:szCs w:val="28"/>
    </w:rPr>
  </w:style>
  <w:style w:type="paragraph" w:styleId="15">
    <w:name w:val="toc 2"/>
    <w:basedOn w:val="1"/>
    <w:next w:val="1"/>
    <w:semiHidden/>
    <w:qFormat/>
    <w:uiPriority w:val="0"/>
    <w:pPr>
      <w:ind w:left="210"/>
      <w:jc w:val="left"/>
    </w:pPr>
    <w:rPr>
      <w:rFonts w:eastAsia="宋体"/>
      <w:smallCaps/>
      <w:sz w:val="20"/>
      <w:szCs w:val="20"/>
    </w:rPr>
  </w:style>
  <w:style w:type="paragraph" w:styleId="16">
    <w:name w:val="Normal (Web)"/>
    <w:basedOn w:val="1"/>
    <w:uiPriority w:val="0"/>
    <w:pPr>
      <w:widowControl/>
      <w:spacing w:before="100" w:beforeAutospacing="1" w:after="100" w:afterAutospacing="1" w:line="420" w:lineRule="atLeast"/>
      <w:jc w:val="left"/>
    </w:pPr>
    <w:rPr>
      <w:rFonts w:ascii="宋体" w:hAnsi="宋体" w:eastAsia="宋体"/>
      <w:kern w:val="0"/>
      <w:sz w:val="21"/>
      <w:szCs w:val="21"/>
    </w:rPr>
  </w:style>
  <w:style w:type="table" w:styleId="18">
    <w:name w:val="Table Grid"/>
    <w:basedOn w:val="17"/>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1"/>
    <w:basedOn w:val="1"/>
    <w:link w:val="19"/>
    <w:qFormat/>
    <w:uiPriority w:val="0"/>
    <w:pPr>
      <w:widowControl/>
      <w:spacing w:after="160" w:line="240" w:lineRule="exact"/>
      <w:jc w:val="left"/>
    </w:pPr>
    <w:rPr>
      <w:rFonts w:ascii="Verdana" w:hAnsi="Verdana"/>
      <w:kern w:val="0"/>
      <w:sz w:val="24"/>
      <w:szCs w:val="20"/>
      <w:lang w:eastAsia="en-US"/>
    </w:rPr>
  </w:style>
  <w:style w:type="character" w:styleId="21">
    <w:name w:val="page number"/>
    <w:basedOn w:val="19"/>
    <w:qFormat/>
    <w:uiPriority w:val="0"/>
  </w:style>
  <w:style w:type="character" w:styleId="22">
    <w:name w:val="Hyperlink"/>
    <w:basedOn w:val="19"/>
    <w:qFormat/>
    <w:uiPriority w:val="0"/>
    <w:rPr>
      <w:color w:val="0000FF"/>
      <w:u w:val="single"/>
    </w:rPr>
  </w:style>
  <w:style w:type="character" w:customStyle="1" w:styleId="23">
    <w:name w:val="标题 1 Char"/>
    <w:basedOn w:val="19"/>
    <w:link w:val="2"/>
    <w:qFormat/>
    <w:uiPriority w:val="0"/>
    <w:rPr>
      <w:rFonts w:eastAsia="宋体"/>
      <w:b/>
      <w:bCs/>
      <w:kern w:val="44"/>
      <w:sz w:val="44"/>
      <w:szCs w:val="44"/>
      <w:lang w:val="en-US" w:eastAsia="zh-CN" w:bidi="ar-SA"/>
    </w:rPr>
  </w:style>
  <w:style w:type="character" w:customStyle="1" w:styleId="24">
    <w:name w:val=" Char Char Char"/>
    <w:basedOn w:val="19"/>
    <w:link w:val="3"/>
    <w:qFormat/>
    <w:uiPriority w:val="0"/>
    <w:rPr>
      <w:rFonts w:ascii="Arial" w:hAnsi="Arial" w:eastAsia="黑体"/>
      <w:b/>
      <w:bCs/>
      <w:kern w:val="2"/>
      <w:sz w:val="32"/>
      <w:szCs w:val="32"/>
      <w:lang w:val="en-US" w:eastAsia="zh-CN" w:bidi="ar-SA"/>
    </w:rPr>
  </w:style>
  <w:style w:type="character" w:customStyle="1" w:styleId="25">
    <w:name w:val=" Char Char3"/>
    <w:basedOn w:val="19"/>
    <w:link w:val="5"/>
    <w:qFormat/>
    <w:uiPriority w:val="0"/>
    <w:rPr>
      <w:rFonts w:ascii="宋体" w:hAnsi="宋体" w:eastAsia="宋体"/>
      <w:b/>
      <w:bCs/>
      <w:kern w:val="2"/>
      <w:sz w:val="28"/>
      <w:szCs w:val="24"/>
      <w:lang w:val="en-US" w:eastAsia="zh-CN" w:bidi="ar-SA"/>
    </w:rPr>
  </w:style>
  <w:style w:type="character" w:customStyle="1" w:styleId="26">
    <w:name w:val=" Char Char2"/>
    <w:basedOn w:val="19"/>
    <w:link w:val="7"/>
    <w:qFormat/>
    <w:uiPriority w:val="0"/>
    <w:rPr>
      <w:rFonts w:eastAsia="仿宋_GB2312"/>
      <w:kern w:val="2"/>
      <w:sz w:val="32"/>
      <w:szCs w:val="24"/>
      <w:lang w:val="en-US" w:eastAsia="zh-CN" w:bidi="ar-SA"/>
    </w:rPr>
  </w:style>
  <w:style w:type="character" w:customStyle="1" w:styleId="27">
    <w:name w:val=" Char Char"/>
    <w:basedOn w:val="19"/>
    <w:link w:val="12"/>
    <w:qFormat/>
    <w:uiPriority w:val="0"/>
    <w:rPr>
      <w:rFonts w:eastAsia="仿宋_GB2312"/>
      <w:kern w:val="2"/>
      <w:sz w:val="18"/>
      <w:szCs w:val="18"/>
    </w:rPr>
  </w:style>
  <w:style w:type="character" w:customStyle="1" w:styleId="28">
    <w:name w:val=" Char Char1"/>
    <w:basedOn w:val="19"/>
    <w:link w:val="13"/>
    <w:qFormat/>
    <w:uiPriority w:val="0"/>
    <w:rPr>
      <w:rFonts w:eastAsia="仿宋_GB2312"/>
      <w:kern w:val="2"/>
      <w:sz w:val="18"/>
      <w:szCs w:val="18"/>
    </w:rPr>
  </w:style>
  <w:style w:type="paragraph" w:customStyle="1" w:styleId="29">
    <w:name w:val=" Char Char Char Char Char Char Char Char Char Char Char Char Char"/>
    <w:basedOn w:val="1"/>
    <w:qFormat/>
    <w:uiPriority w:val="0"/>
    <w:pPr>
      <w:adjustRightInd w:val="0"/>
      <w:spacing w:line="360" w:lineRule="atLeast"/>
      <w:textAlignment w:val="baseline"/>
    </w:pPr>
    <w:rPr>
      <w:rFonts w:eastAsia="宋体"/>
      <w:sz w:val="21"/>
      <w:szCs w:val="24"/>
    </w:rPr>
  </w:style>
  <w:style w:type="paragraph" w:customStyle="1" w:styleId="30">
    <w:name w:val=" Char Char Char Char Char Char Char"/>
    <w:basedOn w:val="1"/>
    <w:qFormat/>
    <w:uiPriority w:val="0"/>
    <w:pPr>
      <w:widowControl/>
      <w:tabs>
        <w:tab w:val="right" w:pos="8494"/>
      </w:tabs>
      <w:spacing w:after="160" w:line="240" w:lineRule="exact"/>
      <w:jc w:val="left"/>
    </w:pPr>
    <w:rPr>
      <w:rFonts w:eastAsia="宋体"/>
      <w:sz w:val="21"/>
      <w:szCs w:val="22"/>
    </w:rPr>
  </w:style>
  <w:style w:type="paragraph" w:customStyle="1" w:styleId="3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List Paragraph"/>
    <w:basedOn w:val="1"/>
    <w:qFormat/>
    <w:uiPriority w:val="0"/>
    <w:pPr>
      <w:ind w:firstLine="420" w:firstLineChars="200"/>
    </w:pPr>
    <w:rPr>
      <w:rFonts w:ascii="Calibri" w:hAnsi="Calibri" w:eastAsia="宋体" w:cs="黑体"/>
      <w:sz w:val="21"/>
      <w:szCs w:val="22"/>
    </w:rPr>
  </w:style>
  <w:style w:type="paragraph" w:customStyle="1" w:styleId="33">
    <w:name w:val="p0"/>
    <w:basedOn w:val="1"/>
    <w:qFormat/>
    <w:uiPriority w:val="0"/>
    <w:pPr>
      <w:widowControl/>
      <w:spacing w:before="100" w:beforeAutospacing="1" w:after="100" w:afterAutospacing="1" w:line="432" w:lineRule="atLeast"/>
      <w:jc w:val="left"/>
    </w:pPr>
    <w:rPr>
      <w:rFonts w:ascii="宋体" w:hAnsi="宋体" w:eastAsia="宋体" w:cs="宋体"/>
      <w:kern w:val="0"/>
      <w:sz w:val="24"/>
      <w:szCs w:val="24"/>
    </w:rPr>
  </w:style>
  <w:style w:type="paragraph" w:customStyle="1" w:styleId="34">
    <w:name w:val="msolistparagraph"/>
    <w:basedOn w:val="1"/>
    <w:qFormat/>
    <w:uiPriority w:val="0"/>
    <w:pPr>
      <w:ind w:firstLine="420" w:firstLineChars="200"/>
    </w:pPr>
    <w:rPr>
      <w:rFonts w:ascii="Calibri" w:hAnsi="Calibri" w:eastAsia="宋体"/>
      <w:sz w:val="21"/>
      <w:szCs w:val="22"/>
    </w:rPr>
  </w:style>
  <w:style w:type="paragraph" w:customStyle="1" w:styleId="35">
    <w:name w:val="正文缩进1"/>
    <w:basedOn w:val="6"/>
    <w:qFormat/>
    <w:uiPriority w:val="0"/>
    <w:pPr>
      <w:adjustRightInd w:val="0"/>
      <w:snapToGrid w:val="0"/>
      <w:spacing w:line="360" w:lineRule="auto"/>
      <w:ind w:left="960" w:hanging="478" w:firstLineChars="0"/>
      <w:textAlignment w:val="baseline"/>
    </w:pPr>
    <w:rPr>
      <w:rFonts w:ascii="仿宋_GB2312" w:hAnsi="Calibri"/>
      <w:color w:val="000000"/>
      <w:spacing w:val="6"/>
      <w:kern w:val="0"/>
      <w:sz w:val="24"/>
      <w:szCs w:val="20"/>
    </w:rPr>
  </w:style>
  <w:style w:type="paragraph" w:customStyle="1" w:styleId="36">
    <w:name w:val="列出段落"/>
    <w:basedOn w:val="1"/>
    <w:qFormat/>
    <w:uiPriority w:val="0"/>
    <w:pPr>
      <w:ind w:firstLine="420" w:firstLineChars="200"/>
    </w:pPr>
    <w:rPr>
      <w:rFonts w:eastAsia="宋体"/>
      <w:sz w:val="21"/>
      <w:szCs w:val="22"/>
    </w:rPr>
  </w:style>
  <w:style w:type="character" w:customStyle="1" w:styleId="37">
    <w:name w:val="页脚 Char"/>
    <w:basedOn w:val="19"/>
    <w:uiPriority w:val="0"/>
    <w:rPr>
      <w:rFonts w:ascii="Times New Roman" w:hAnsi="Times New Roman" w:eastAsia="宋体" w:cs="Times New Roman"/>
      <w:sz w:val="18"/>
      <w:szCs w:val="18"/>
    </w:rPr>
  </w:style>
  <w:style w:type="character" w:customStyle="1" w:styleId="38">
    <w:name w:val="内容 Char"/>
    <w:basedOn w:val="19"/>
    <w:link w:val="39"/>
    <w:qFormat/>
    <w:uiPriority w:val="0"/>
    <w:rPr>
      <w:rFonts w:ascii="仿宋_GB2312" w:eastAsia="仿宋_GB2312"/>
      <w:sz w:val="32"/>
      <w:szCs w:val="32"/>
      <w:lang w:bidi="ar-SA"/>
    </w:rPr>
  </w:style>
  <w:style w:type="paragraph" w:customStyle="1" w:styleId="39">
    <w:name w:val="内容"/>
    <w:basedOn w:val="1"/>
    <w:link w:val="38"/>
    <w:qFormat/>
    <w:uiPriority w:val="0"/>
    <w:pPr>
      <w:spacing w:line="579" w:lineRule="exact"/>
      <w:ind w:firstLine="640" w:firstLineChars="200"/>
    </w:pPr>
    <w:rPr>
      <w:rFonts w:ascii="仿宋_GB2312"/>
      <w:kern w:val="0"/>
    </w:rPr>
  </w:style>
  <w:style w:type="paragraph" w:customStyle="1" w:styleId="40">
    <w:name w:val="列出段落1"/>
    <w:basedOn w:val="1"/>
    <w:uiPriority w:val="0"/>
    <w:pPr>
      <w:ind w:firstLine="420" w:firstLineChars="200"/>
    </w:pPr>
    <w:rPr>
      <w:rFonts w:ascii="Calibri" w:hAnsi="Calibri" w:eastAsia="宋体"/>
      <w:sz w:val="21"/>
      <w:szCs w:val="21"/>
    </w:rPr>
  </w:style>
  <w:style w:type="character" w:customStyle="1" w:styleId="41">
    <w:name w:val="16"/>
    <w:basedOn w:val="19"/>
    <w:uiPriority w:val="0"/>
    <w:rPr>
      <w:rFonts w:hint="eastAsia" w:ascii="宋体" w:hAnsi="宋体" w:eastAsia="宋体"/>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E4EE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12</Pages>
  <Words>5526</Words>
  <Characters>5609</Characters>
  <Lines>12</Lines>
  <Paragraphs>3</Paragraphs>
  <TotalTime>3</TotalTime>
  <ScaleCrop>false</ScaleCrop>
  <LinksUpToDate>false</LinksUpToDate>
  <CharactersWithSpaces>5716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2022-09-08T05:19:00Z</dcterms:created>
  <dc:creator>微软用户</dc:creator>
  <cp:lastModifiedBy>囍菓菓</cp:lastModifiedBy>
  <cp:lastPrinted>2022-09-08T06:34:00Z</cp:lastPrinted>
  <dcterms:modified xsi:type="dcterms:W3CDTF">2024-12-16T08:54:48Z</dcterms:modified>
  <dc:title>2008年城市防汛工作方案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9DD3DF42445F4FCCB5F75F16BD9BE1D5_13</vt:lpwstr>
  </property>
</Properties>
</file>