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SimHei" w:hAnsi="SimHei" w:eastAsia="SimHei" w:cs="SimHei"/>
          <w:sz w:val="32"/>
          <w:szCs w:val="32"/>
          <w:highlight w:val="none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SimHei" w:hAnsi="SimHei" w:eastAsia="SimHei" w:cs="SimHei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</w:rPr>
        <w:t>济南市促进电竞游戏产业发展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highlight w:val="none"/>
          <w:lang w:val="en-US" w:eastAsia="zh-CN"/>
        </w:rPr>
        <w:t>行动计划（2024-2026年）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KaiTi_GB2312" w:hAnsi="KaiTi_GB2312" w:eastAsia="KaiTi_GB2312" w:cs="KaiTi_GB2312"/>
          <w:sz w:val="32"/>
          <w:szCs w:val="32"/>
          <w:highlight w:val="none"/>
          <w:lang w:val="en-US" w:eastAsia="zh-CN"/>
        </w:rPr>
      </w:pPr>
      <w:r>
        <w:rPr>
          <w:rFonts w:hint="eastAsia" w:ascii="KaiTi_GB2312" w:hAnsi="KaiTi_GB2312" w:eastAsia="KaiTi_GB2312" w:cs="KaiTi_GB2312"/>
          <w:sz w:val="32"/>
          <w:szCs w:val="32"/>
          <w:highlight w:val="none"/>
          <w:lang w:eastAsia="zh-CN"/>
        </w:rPr>
        <w:t>（</w:t>
      </w:r>
      <w:r>
        <w:rPr>
          <w:rFonts w:hint="eastAsia" w:ascii="KaiTi_GB2312" w:hAnsi="KaiTi_GB2312" w:eastAsia="KaiTi_GB2312" w:cs="KaiTi_GB2312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KaiTi_GB2312" w:hAnsi="KaiTi_GB2312" w:eastAsia="KaiTi_GB2312" w:cs="KaiTi_GB2312"/>
          <w:sz w:val="32"/>
          <w:szCs w:val="32"/>
          <w:highlight w:val="none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  <w:t>为加快推动数字先锋城市建设，发展壮大电竞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  <w:t>产业，培育经济发展新动能，结合我市实际，制定本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行动计划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SimHei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SimHei" w:cs="Times New Roman"/>
          <w:sz w:val="32"/>
          <w:szCs w:val="32"/>
          <w:highlight w:val="none"/>
          <w:lang w:val="en-US"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KaiTi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val="en-US" w:eastAsia="zh-CN"/>
        </w:rPr>
        <w:t>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</w:pP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坚持以习近平新时代中国特色社会主义思想为指导，全面贯彻党的二十大精神，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坚持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新发展理念，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坚持正确导向，坚持市场主导与政府引导，以完善基础设施、提升产业能级、创建品牌赛事、创新融合发展、优化发展环境为重点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以赛创牌、以赛促产、以产为基、以产促融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eastAsia="zh-CN"/>
        </w:rPr>
        <w:t>，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深入挖掘电竞市场价值，营造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泉城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电竞特色文化，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实现社会效益和经济效益相统一，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促进“电竞+”产业品牌化、国际化、规范化、融合化发展。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立足济南市比较优势，力争到2026年，打造3—5个功能齐全、设备完善、可承接高水平电竞赛事和专业训练的竞赛场馆，引培10家左右电竞游戏研发、赛事、运营头部企业，举办5场左右专业性强、人气度高的国际国内电竞顶级赛事和本地品牌赛事，形成一批“电竞+”典型应用场景，将济南市打造成基础设施完备、产业基础扎实、品牌影响力突出、融合效应显著、发展环境优良的黄河流域电竞名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SimHei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SimHei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SimHei" w:cs="Times New Roman"/>
          <w:sz w:val="32"/>
          <w:szCs w:val="32"/>
          <w:highlight w:val="none"/>
        </w:rPr>
        <w:t>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KaiTi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</w:rPr>
        <w:t>实施基础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val="en-US" w:eastAsia="zh-CN"/>
        </w:rPr>
        <w:t>设施建设完善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</w:rPr>
        <w:t>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统筹推进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多层次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电竞场馆建设。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加快建设符合国际性赛事标准的大型电竞赛事专业场馆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。鼓励引导电竞企业、电竞赛事运营企业、电竞俱乐部及社会力量投资、建设、运营满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足常规训练和主场比赛需求的中型专业化电竞场馆。鼓励利用现有体育场馆、剧院、网吧、国企闲置厂房等场馆、闲置空间改扩建中小型电竞场馆，充分满足中小型或民间电竞赛事需求。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（责任单位：市体育局、市文化和旅游局、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市住房城乡建设局、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市自然资源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和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规划局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各区县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.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加快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推动产业集聚区建设。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规划建设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研发、赛事运营、电竞直播、培训、衍生品开发等产业要素集聚的电竞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主题产业园区（基地），引导电竞产业上下游企业集聚。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依托齐鲁软件园等成熟软件产业载体，着力引进电竞游戏领域总部企业、标杆企业，集聚一批影响力、带动力强的“链主企业”。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（责任单位：市体育局、市文化和旅游局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各区县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3.鼓励建设电竞训练基地。积极争取国家电竞队训练基地落户济南，为训练提供优质保障。支持企业、行业协会、专业机构等设立电竞培训机构和实训基地，开展赛事解说、电竞裁判、经纪管理、组织运营、转播制作等专业技能和行业规范培训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（责任单位：市体育局、市人力资源社会保障局）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）实施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val="en-US" w:eastAsia="zh-CN"/>
        </w:rPr>
        <w:t>产业能级加速提升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行动</w:t>
      </w:r>
    </w:p>
    <w:p>
      <w:pPr>
        <w:spacing w:line="600" w:lineRule="exact"/>
        <w:ind w:firstLine="640" w:firstLineChars="200"/>
        <w:rPr>
          <w:rFonts w:ascii="Times New Roman" w:hAnsi="Times New Roman" w:eastAsia="FangSong_GB2312" w:cs="Times New Roman"/>
          <w:color w:val="000000"/>
          <w:sz w:val="32"/>
          <w:szCs w:val="36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加强电竞游戏企业引进培育。依托济南市软件名城优势，积极争取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国内外优秀电竞游戏公司、研发机构、工作室等落户济南，开展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产品研发制作、技术创新等工作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加强与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国内头部运营、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直播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和短视频企业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合作，支持在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济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设立地区总部、业务总部，提高大型电竞赛事运营、制作传播、商业开发能力。支持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本地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企业加快壮大，培育一批专精特新优质企业。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市工业和信息化局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市投资促进局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市发展改革委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5.建立电竞游戏企业培育机制。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支持电竞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企业加快壮大，将电竞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企业培育纳入全市工业和信息化领域优质企业梯度培育体系，加快培育一批电竞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领域</w:t>
      </w:r>
      <w:r>
        <w:rPr>
          <w:rFonts w:ascii="FangSong_GB2312" w:eastAsia="FangSong_GB2312"/>
          <w:sz w:val="32"/>
        </w:rPr>
        <w:t>创新型中小企业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、专精特新、瞪羚、独角兽等优质企业。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市体育局、市工业和信息化局）</w:t>
      </w:r>
    </w:p>
    <w:p>
      <w:pPr>
        <w:spacing w:line="600" w:lineRule="exact"/>
        <w:ind w:firstLine="640" w:firstLineChars="200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6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.支持原创游戏产品研发。鼓励游戏企业持续开展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内容和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技术创新，提升原创游戏产品研制水平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重点研发符合市场需求和行业发展趋势的移动端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主机端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电竞产品，打造弘扬社会主义核心价值观、代表先进文化发展方向、传播文明理念的原创精品力作。鼓励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企业将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济南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特色文化、特色场景、历史人物等融入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内容研发创作，形成一批自主IP电竞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原创内容。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（责任单位：市文化和旅游局）</w:t>
      </w:r>
    </w:p>
    <w:p>
      <w:pPr>
        <w:spacing w:line="600" w:lineRule="exact"/>
        <w:ind w:firstLine="640" w:firstLineChars="200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  <w:t>.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支持建设产业发展创新平台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。鼓励企业建设游戏开发共性技术平台、开源开放创新平台、游戏引擎研发平台等共性平台，支持企业申报一企一技术中心、软件工程技术中心、企业技术中心等各类高端研发平台。</w:t>
      </w:r>
      <w:r>
        <w:rPr>
          <w:rFonts w:hint="eastAsia" w:ascii="Times New Roman" w:hAnsi="Times New Roman" w:eastAsia="FangSong_GB2312"/>
          <w:color w:val="000000"/>
          <w:sz w:val="32"/>
          <w:szCs w:val="36"/>
        </w:rPr>
        <w:t>鼓励科技企业孵化器和众创空间孵化培育</w:t>
      </w:r>
      <w:r>
        <w:rPr>
          <w:rFonts w:hint="eastAsia" w:ascii="Times New Roman" w:hAnsi="Times New Roman" w:eastAsia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Times New Roman" w:hAnsi="Times New Roman" w:eastAsia="FangSong_GB2312"/>
          <w:color w:val="000000"/>
          <w:sz w:val="32"/>
          <w:szCs w:val="36"/>
        </w:rPr>
        <w:t>研发、</w:t>
      </w:r>
      <w:r>
        <w:rPr>
          <w:rFonts w:hint="eastAsia" w:ascii="Times New Roman" w:hAnsi="Times New Roman" w:eastAsia="FangSong_GB2312"/>
          <w:color w:val="000000"/>
          <w:sz w:val="32"/>
          <w:szCs w:val="36"/>
          <w:lang w:val="en-US" w:eastAsia="zh-CN"/>
        </w:rPr>
        <w:t>电竞</w:t>
      </w:r>
      <w:r>
        <w:rPr>
          <w:rFonts w:hint="eastAsia" w:ascii="Times New Roman" w:hAnsi="Times New Roman" w:eastAsia="FangSong_GB2312"/>
          <w:color w:val="000000"/>
          <w:sz w:val="32"/>
          <w:szCs w:val="36"/>
        </w:rPr>
        <w:t>俱乐部、经纪服务、战队等类型的企业或团队。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市文化和旅游局、市发展改革委、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市科技局、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市工业和信息化局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）实施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val="en-US" w:eastAsia="zh-CN"/>
        </w:rPr>
        <w:t>赛事活动品牌创建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行动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8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积极引进顶级品牌赛事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。加强与国内外电竞行业协会组织、电竞游戏领军企业对接，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争取王者荣耀职业联赛、DOTA2国际邀请赛、英雄联盟职业联赛等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国际性顶级赛事、国际性/洲际性/全国性大型赛事在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济南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落地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。支持各级电竞联赛的重要场次和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重要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活动在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济南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举办。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（责任单位：市体育局）</w:t>
      </w:r>
    </w:p>
    <w:p>
      <w:pPr>
        <w:spacing w:line="600" w:lineRule="exact"/>
        <w:ind w:firstLine="640" w:firstLineChars="200"/>
        <w:rPr>
          <w:rFonts w:ascii="Times New Roman" w:hAnsi="Times New Roman" w:eastAsia="FangSong_GB2312" w:cs="Times New Roman"/>
          <w:color w:val="000000"/>
          <w:sz w:val="32"/>
          <w:szCs w:val="36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9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加快培育自主品牌赛事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。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支持举办中小型电竞赛事和全民赛、日常赛以及校园绿色电竞赛事。积极培育有特色、有影响力的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济南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自主品牌电竞赛事，构建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济南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自主IP品牌赛事体系，不断提升济南电竞赛事知名度和美誉度。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（责任单位：市体育局）</w:t>
      </w:r>
    </w:p>
    <w:p>
      <w:pPr>
        <w:spacing w:line="600" w:lineRule="exact"/>
        <w:ind w:firstLine="640" w:firstLineChars="200"/>
        <w:rPr>
          <w:rFonts w:hint="default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10.举办电竞游戏周边系列活动。支持企业和机构举办电竞游戏论坛、供需对接会等产业活动，加强产业对接，促进电竞游戏产业发展。鼓励、支持会展公司与动漫游戏厂商合作举办高水平动漫游戏展。鼓励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组织举办电竞周、电竞嘉年华等</w:t>
      </w:r>
      <w:r>
        <w:rPr>
          <w:rFonts w:ascii="Times New Roman" w:hAnsi="Times New Roman" w:eastAsia="FangSong_GB2312" w:cs="Times New Roman"/>
          <w:color w:val="000000"/>
          <w:sz w:val="32"/>
          <w:szCs w:val="36"/>
        </w:rPr>
        <w:t>主题宣传活动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eastAsia="zh-CN"/>
        </w:rPr>
        <w:t>，加大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宣传推广力度。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（责任单位：市文化和旅游局、市体育局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市商务局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）实施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val="en-US" w:eastAsia="zh-CN"/>
        </w:rPr>
        <w:t>创新融合发展赋能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行动</w:t>
      </w:r>
    </w:p>
    <w:p>
      <w:pPr>
        <w:spacing w:line="600" w:lineRule="exact"/>
        <w:ind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11.推动电竞产业融合应用创新。建设一批“电竞+文创”“电竞+会展”“电竞+旅游”等典型应用场景，促进电竞与各产业领域融合发展，打造新场景、新业态。支持在公园、街区、园区、景区等公共空间融入电竞元素，融合竞赛表演、娱乐购物、休闲旅游、特色美食等开发消费新场景，打造一批在全国范围内具有较高影响力的高品质、重体验、地标性电竞特色场所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（责任单位：市文化和旅游局、市体育局、市商务局、市园林和林业绿化局）</w:t>
      </w:r>
    </w:p>
    <w:p>
      <w:pPr>
        <w:spacing w:line="600" w:lineRule="exact"/>
        <w:ind w:firstLine="640" w:firstLineChars="200"/>
        <w:rPr>
          <w:rFonts w:hint="default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highlight w:val="none"/>
          <w:lang w:val="en-US" w:eastAsia="zh-CN"/>
        </w:rPr>
        <w:t>12.带动电竞游戏周边产业发展。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支持相关企业运用人工智能、虚拟现实、裸眼3D等新一代数字技术，提升电竞内容制作水平及传播能力，带动电竞直播、经纪、资讯、培训、装备等周边产业发展，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延长电竞产业消费链条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拓展电竞赛事内容传播渠道，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用好现有电视频道资源，支持主流媒体平台参与赛事内容制作及传播。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（责任单位：市文化和旅游局、市体育局、济南广播电视台）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）实施</w:t>
      </w:r>
      <w:r>
        <w:rPr>
          <w:rFonts w:hint="eastAsia" w:ascii="Times New Roman" w:hAnsi="Times New Roman" w:eastAsia="KaiTi" w:cs="Times New Roman"/>
          <w:sz w:val="32"/>
          <w:szCs w:val="32"/>
          <w:highlight w:val="none"/>
          <w:lang w:val="en-US" w:eastAsia="zh-CN"/>
        </w:rPr>
        <w:t>发展环境优化提升</w:t>
      </w:r>
      <w:r>
        <w:rPr>
          <w:rFonts w:hint="default" w:ascii="Times New Roman" w:hAnsi="Times New Roman" w:eastAsia="KaiTi" w:cs="Times New Roman"/>
          <w:sz w:val="32"/>
          <w:szCs w:val="32"/>
          <w:highlight w:val="none"/>
          <w:lang w:eastAsia="zh-CN"/>
        </w:rPr>
        <w:t>行动</w:t>
      </w:r>
    </w:p>
    <w:p>
      <w:pPr>
        <w:spacing w:line="600" w:lineRule="exact"/>
        <w:ind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13.加强人才培育和引进。鼓励高校、职业院校通过校企合作等方式开设电竞游戏类专业，建立后备人才培养体系，培养多层次电竞游戏产业相关人才。面向游戏设计、游戏开发、电子竞技运动员、赛事运营、赛事解说、电竞裁判、经纪管理、转播制作等领域，建立济南市电竞游戏人才库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制定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电子竞技人才评定办法。支持电竞游戏相关人才申报“海右名士”专业技术拔尖人才、市级领军人才。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（责任单位：市教育局、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市人力资源社会保障局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市文化和旅游局、市体育局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市工业和信息化局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）</w:t>
      </w:r>
    </w:p>
    <w:p>
      <w:pPr>
        <w:spacing w:line="600" w:lineRule="exact"/>
        <w:ind w:firstLine="640" w:firstLineChars="200"/>
        <w:rPr>
          <w:rFonts w:hint="default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14.优化市场环境。本着鼓励创新的原则，对电竞游戏产业实行包容审慎监管方式，在严守安全底线的前提下为新业态发展留足空间。加强社会舆论引导，全面推进游戏防沉迷，保护青少年身心健康，树立积极向上的行业形象。加大游戏版权保护力度，严厉打击黑灰产业。依法查处不正当竞争行为，维护公平竞争市场秩序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（责任单位：市文化和旅游局、市体育局、市教育局、市市场监管局）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SimHei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SimHei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SimHei" w:cs="Times New Roman"/>
          <w:sz w:val="32"/>
          <w:szCs w:val="32"/>
          <w:highlight w:val="none"/>
        </w:rPr>
        <w:t>、保障措施</w:t>
      </w:r>
    </w:p>
    <w:p>
      <w:pPr>
        <w:spacing w:line="600" w:lineRule="exact"/>
        <w:ind w:firstLine="640" w:firstLineChars="200"/>
        <w:rPr>
          <w:rFonts w:hint="default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</w:pPr>
      <w:r>
        <w:rPr>
          <w:rFonts w:hint="eastAsia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（一）加强统筹协调。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建立市工业和信息化局牵头，多部门参与的电竞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产业发展联席会议机制，强化市区联动、部门协同，形成合力，加强政策扶持、优化资源配置、完善空间布局、加强企业培育和人才引育，抓好政策落地实施。</w:t>
      </w:r>
      <w:r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（各有关部门按职责分工负责）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sz w:val="32"/>
          <w:szCs w:val="32"/>
          <w:highlight w:val="none"/>
        </w:rPr>
      </w:pPr>
      <w:r>
        <w:rPr>
          <w:rFonts w:hint="default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（二）</w:t>
      </w:r>
      <w:r>
        <w:rPr>
          <w:rFonts w:hint="eastAsia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强化责任落实</w:t>
      </w:r>
      <w:r>
        <w:rPr>
          <w:rFonts w:hint="default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建立工作台账，项目化、工程化、清单化推动任务落实。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eastAsia="zh-CN"/>
        </w:rPr>
        <w:t>各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</w:rPr>
        <w:t>相关部门按照方案确定的主要目标和重点任务，细化具体政策措施，压实工作责任，确保政策到位、措施到位、成效到位。</w:t>
      </w:r>
      <w:r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（各有关部门按职责分工负责）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</w:pPr>
      <w:r>
        <w:rPr>
          <w:rFonts w:hint="default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（</w:t>
      </w:r>
      <w:r>
        <w:rPr>
          <w:rFonts w:hint="eastAsia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三</w:t>
      </w:r>
      <w:r>
        <w:rPr>
          <w:rFonts w:hint="default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）</w:t>
      </w:r>
      <w:r>
        <w:rPr>
          <w:rFonts w:hint="eastAsia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加大政策支持</w:t>
      </w:r>
      <w:r>
        <w:rPr>
          <w:rFonts w:hint="default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统筹现有相关政策，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eastAsia="zh-CN"/>
        </w:rPr>
        <w:t>发挥财政政策引导作用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优化政策支持方式，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eastAsia="zh-CN"/>
        </w:rPr>
        <w:t>完善多元化资金投入机制，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eastAsia="zh-CN"/>
        </w:rPr>
        <w:t>加大对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电竞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eastAsia="zh-CN"/>
        </w:rPr>
        <w:t>游戏产业发展的支持力度。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</w:t>
      </w:r>
      <w:r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责任单位：市工业和信息化局、市发展改革委、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市科技局、</w:t>
      </w:r>
      <w:r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市财政局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、市商务局、</w:t>
      </w:r>
      <w:r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市文化和旅游局、市体育局、市投资促进局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</w:pPr>
      <w:r>
        <w:rPr>
          <w:rFonts w:hint="default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（</w:t>
      </w:r>
      <w:r>
        <w:rPr>
          <w:rFonts w:hint="eastAsia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四</w:t>
      </w:r>
      <w:r>
        <w:rPr>
          <w:rFonts w:hint="default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）加强宣传</w:t>
      </w:r>
      <w:r>
        <w:rPr>
          <w:rFonts w:hint="eastAsia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推广</w:t>
      </w:r>
      <w:r>
        <w:rPr>
          <w:rFonts w:hint="default" w:ascii="KaiTi" w:hAnsi="KaiTi" w:eastAsia="KaiTi" w:cs="KaiTi"/>
          <w:b w:val="0"/>
          <w:bCs w:val="0"/>
          <w:color w:val="000000"/>
          <w:sz w:val="32"/>
          <w:szCs w:val="36"/>
          <w:lang w:val="en-US" w:eastAsia="zh-CN"/>
        </w:rPr>
        <w:t>。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加大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电竞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游戏产业的正面宣传引导，发挥游戏的正向价值。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通过各类媒体宣传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济南市电竞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游戏产业发展、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赛事举办、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应用示范等工作成效，营造推动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电竞</w:t>
      </w:r>
      <w:r>
        <w:rPr>
          <w:rFonts w:hint="default" w:ascii="FangSong_GB2312" w:hAnsi="FangSong_GB2312" w:eastAsia="FangSong_GB2312" w:cs="FangSong_GB2312"/>
          <w:color w:val="000000"/>
          <w:sz w:val="32"/>
          <w:szCs w:val="32"/>
          <w:highlight w:val="none"/>
          <w:lang w:val="en-US" w:eastAsia="zh-CN"/>
        </w:rPr>
        <w:t>游戏产业健康发展的良好氛围。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</w:t>
      </w:r>
      <w:r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责任单位：市文化和旅游局、市体育局、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济南</w:t>
      </w:r>
      <w:r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广播电视台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both"/>
        <w:textAlignment w:val="auto"/>
        <w:rPr>
          <w:rFonts w:hint="eastAsia" w:ascii="FZXiaoBiaoSong-B05" w:hAnsi="FZXiaoBiaoSong-B05" w:eastAsia="FZXiaoBiaoSong-B05" w:cs="FZXiaoBiaoSong-B05"/>
          <w:color w:val="000000"/>
          <w:kern w:val="44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D7E4D1-ABDC-4A44-8AA3-E7D4588065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0E62610-2A75-45B3-9419-3CD536FFB687}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519B16-106B-45AD-B23F-472E51439BB4}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10C715-1879-4820-8921-99EF1EE0F197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FCBB2CE-9918-4D83-8005-4619507ED2BF}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17F4F0B-B9BD-4187-A69F-22A20B560D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CCB91"/>
    <w:multiLevelType w:val="singleLevel"/>
    <w:tmpl w:val="937CCB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00172A27"/>
    <w:rsid w:val="001D5FB4"/>
    <w:rsid w:val="00337586"/>
    <w:rsid w:val="00473156"/>
    <w:rsid w:val="004B08AB"/>
    <w:rsid w:val="005A7208"/>
    <w:rsid w:val="00D4731E"/>
    <w:rsid w:val="011E27AF"/>
    <w:rsid w:val="016A5229"/>
    <w:rsid w:val="01C92E94"/>
    <w:rsid w:val="01D152A8"/>
    <w:rsid w:val="01E0303E"/>
    <w:rsid w:val="01FC338A"/>
    <w:rsid w:val="020F7B7E"/>
    <w:rsid w:val="02296E92"/>
    <w:rsid w:val="023136CA"/>
    <w:rsid w:val="024C492F"/>
    <w:rsid w:val="02BE582C"/>
    <w:rsid w:val="02E26B72"/>
    <w:rsid w:val="02E903CF"/>
    <w:rsid w:val="02E917C6"/>
    <w:rsid w:val="0305345B"/>
    <w:rsid w:val="03304250"/>
    <w:rsid w:val="033124A2"/>
    <w:rsid w:val="03546191"/>
    <w:rsid w:val="036F2FCB"/>
    <w:rsid w:val="03B24C65"/>
    <w:rsid w:val="03D1333D"/>
    <w:rsid w:val="03E017D2"/>
    <w:rsid w:val="03F92894"/>
    <w:rsid w:val="04021749"/>
    <w:rsid w:val="0402799B"/>
    <w:rsid w:val="042E0790"/>
    <w:rsid w:val="043A5387"/>
    <w:rsid w:val="04506958"/>
    <w:rsid w:val="045F303F"/>
    <w:rsid w:val="04D62A5B"/>
    <w:rsid w:val="04D8694C"/>
    <w:rsid w:val="04DC4690"/>
    <w:rsid w:val="04E11CA6"/>
    <w:rsid w:val="051554AC"/>
    <w:rsid w:val="054C386E"/>
    <w:rsid w:val="05807019"/>
    <w:rsid w:val="05856AD5"/>
    <w:rsid w:val="05F872A7"/>
    <w:rsid w:val="05FE4192"/>
    <w:rsid w:val="06112117"/>
    <w:rsid w:val="061C057A"/>
    <w:rsid w:val="06A411DD"/>
    <w:rsid w:val="06B55198"/>
    <w:rsid w:val="06B9405D"/>
    <w:rsid w:val="071F0864"/>
    <w:rsid w:val="07434552"/>
    <w:rsid w:val="076D15CF"/>
    <w:rsid w:val="07A83C3B"/>
    <w:rsid w:val="07C91A5F"/>
    <w:rsid w:val="08404F36"/>
    <w:rsid w:val="085546C8"/>
    <w:rsid w:val="0858227F"/>
    <w:rsid w:val="08A2799E"/>
    <w:rsid w:val="08AE00F1"/>
    <w:rsid w:val="08B61527"/>
    <w:rsid w:val="08D6681C"/>
    <w:rsid w:val="0926412B"/>
    <w:rsid w:val="09376339"/>
    <w:rsid w:val="095F13EB"/>
    <w:rsid w:val="09C53944"/>
    <w:rsid w:val="09D45935"/>
    <w:rsid w:val="09DA712A"/>
    <w:rsid w:val="09F23446"/>
    <w:rsid w:val="0A07681A"/>
    <w:rsid w:val="0A2C19E8"/>
    <w:rsid w:val="0A454A85"/>
    <w:rsid w:val="0AA748F4"/>
    <w:rsid w:val="0B073AE9"/>
    <w:rsid w:val="0B224DC6"/>
    <w:rsid w:val="0B3F14D4"/>
    <w:rsid w:val="0B5C2086"/>
    <w:rsid w:val="0B61769D"/>
    <w:rsid w:val="0B696551"/>
    <w:rsid w:val="0B8B765F"/>
    <w:rsid w:val="0B924162"/>
    <w:rsid w:val="0B92739D"/>
    <w:rsid w:val="0B9A670B"/>
    <w:rsid w:val="0B9E444D"/>
    <w:rsid w:val="0BF83BD6"/>
    <w:rsid w:val="0C3616DB"/>
    <w:rsid w:val="0C46425A"/>
    <w:rsid w:val="0C8510A9"/>
    <w:rsid w:val="0C9F760E"/>
    <w:rsid w:val="0CC97B04"/>
    <w:rsid w:val="0CF4009D"/>
    <w:rsid w:val="0D156991"/>
    <w:rsid w:val="0D4032E2"/>
    <w:rsid w:val="0D49488C"/>
    <w:rsid w:val="0D5A25F6"/>
    <w:rsid w:val="0D682BDC"/>
    <w:rsid w:val="0D8E04F1"/>
    <w:rsid w:val="0DF465A6"/>
    <w:rsid w:val="0E2350DD"/>
    <w:rsid w:val="0E611762"/>
    <w:rsid w:val="0E875C95"/>
    <w:rsid w:val="0E8D69FB"/>
    <w:rsid w:val="0E912047"/>
    <w:rsid w:val="0EA306E9"/>
    <w:rsid w:val="0EAD49A7"/>
    <w:rsid w:val="0EB871F5"/>
    <w:rsid w:val="0EDE1004"/>
    <w:rsid w:val="0EE04512"/>
    <w:rsid w:val="0F0E7B3C"/>
    <w:rsid w:val="0F2F19BC"/>
    <w:rsid w:val="0F730037"/>
    <w:rsid w:val="0F7756E1"/>
    <w:rsid w:val="0F827BE2"/>
    <w:rsid w:val="0F9A317D"/>
    <w:rsid w:val="0FA45DAA"/>
    <w:rsid w:val="0FCE1079"/>
    <w:rsid w:val="0FDB4EB8"/>
    <w:rsid w:val="0FE931F3"/>
    <w:rsid w:val="0FFE195E"/>
    <w:rsid w:val="1034712E"/>
    <w:rsid w:val="10390BE8"/>
    <w:rsid w:val="105F10EA"/>
    <w:rsid w:val="10706C1C"/>
    <w:rsid w:val="10797237"/>
    <w:rsid w:val="10825D81"/>
    <w:rsid w:val="10A047C3"/>
    <w:rsid w:val="10C1473A"/>
    <w:rsid w:val="10D34B99"/>
    <w:rsid w:val="111331E7"/>
    <w:rsid w:val="11322BE5"/>
    <w:rsid w:val="115C76E5"/>
    <w:rsid w:val="116B50AE"/>
    <w:rsid w:val="1178129C"/>
    <w:rsid w:val="117874EE"/>
    <w:rsid w:val="11A26FBC"/>
    <w:rsid w:val="11CD1A08"/>
    <w:rsid w:val="11D63C98"/>
    <w:rsid w:val="11DD3BF7"/>
    <w:rsid w:val="11FC3C7B"/>
    <w:rsid w:val="11FD79F3"/>
    <w:rsid w:val="1204700E"/>
    <w:rsid w:val="12105979"/>
    <w:rsid w:val="123062DF"/>
    <w:rsid w:val="124D44D7"/>
    <w:rsid w:val="124E024F"/>
    <w:rsid w:val="12575356"/>
    <w:rsid w:val="12AC2C68"/>
    <w:rsid w:val="12C8390D"/>
    <w:rsid w:val="12CA1FCB"/>
    <w:rsid w:val="13021765"/>
    <w:rsid w:val="1330692A"/>
    <w:rsid w:val="13451652"/>
    <w:rsid w:val="137B1173"/>
    <w:rsid w:val="13979225"/>
    <w:rsid w:val="13BB3EE5"/>
    <w:rsid w:val="13DC1FB6"/>
    <w:rsid w:val="13E96481"/>
    <w:rsid w:val="140E7F87"/>
    <w:rsid w:val="14376624"/>
    <w:rsid w:val="143A1CE1"/>
    <w:rsid w:val="1441006B"/>
    <w:rsid w:val="145C4EA5"/>
    <w:rsid w:val="14755F67"/>
    <w:rsid w:val="148F21CB"/>
    <w:rsid w:val="14B051F1"/>
    <w:rsid w:val="14B606BF"/>
    <w:rsid w:val="14EC447B"/>
    <w:rsid w:val="14F1723E"/>
    <w:rsid w:val="15004244"/>
    <w:rsid w:val="15170DCC"/>
    <w:rsid w:val="153C0833"/>
    <w:rsid w:val="154D2A40"/>
    <w:rsid w:val="15502B4A"/>
    <w:rsid w:val="15781EB2"/>
    <w:rsid w:val="15873933"/>
    <w:rsid w:val="1588532B"/>
    <w:rsid w:val="15B605E5"/>
    <w:rsid w:val="15DA72D2"/>
    <w:rsid w:val="15E74C42"/>
    <w:rsid w:val="163C048F"/>
    <w:rsid w:val="16713858"/>
    <w:rsid w:val="16803014"/>
    <w:rsid w:val="16A3500D"/>
    <w:rsid w:val="16B15CA2"/>
    <w:rsid w:val="16B84B26"/>
    <w:rsid w:val="16F8635C"/>
    <w:rsid w:val="173117CE"/>
    <w:rsid w:val="173E0892"/>
    <w:rsid w:val="176A7FFC"/>
    <w:rsid w:val="17C76AD9"/>
    <w:rsid w:val="17D411F6"/>
    <w:rsid w:val="17E72CD8"/>
    <w:rsid w:val="17EC7F21"/>
    <w:rsid w:val="18047D2E"/>
    <w:rsid w:val="18212A98"/>
    <w:rsid w:val="18216B7B"/>
    <w:rsid w:val="184A52E9"/>
    <w:rsid w:val="1888270D"/>
    <w:rsid w:val="18952734"/>
    <w:rsid w:val="19257F5C"/>
    <w:rsid w:val="192817FA"/>
    <w:rsid w:val="19526877"/>
    <w:rsid w:val="198527A8"/>
    <w:rsid w:val="1988673C"/>
    <w:rsid w:val="199645B8"/>
    <w:rsid w:val="19C16E81"/>
    <w:rsid w:val="19C37774"/>
    <w:rsid w:val="19CC487B"/>
    <w:rsid w:val="19DB061A"/>
    <w:rsid w:val="1A0E6C42"/>
    <w:rsid w:val="1A1B135F"/>
    <w:rsid w:val="1A200723"/>
    <w:rsid w:val="1A6C5716"/>
    <w:rsid w:val="1A721A97"/>
    <w:rsid w:val="1A86772F"/>
    <w:rsid w:val="1AF25F90"/>
    <w:rsid w:val="1AFF658A"/>
    <w:rsid w:val="1B040045"/>
    <w:rsid w:val="1B152389"/>
    <w:rsid w:val="1B2D3F86"/>
    <w:rsid w:val="1B7E89F0"/>
    <w:rsid w:val="1B826FFA"/>
    <w:rsid w:val="1B8F790E"/>
    <w:rsid w:val="1BBE4697"/>
    <w:rsid w:val="1BC3580A"/>
    <w:rsid w:val="1C022E36"/>
    <w:rsid w:val="1C1C4F1A"/>
    <w:rsid w:val="1C406E5A"/>
    <w:rsid w:val="1C5E0F7A"/>
    <w:rsid w:val="1C7551F1"/>
    <w:rsid w:val="1CEC0D90"/>
    <w:rsid w:val="1D677FC0"/>
    <w:rsid w:val="1D751396"/>
    <w:rsid w:val="1DB7425F"/>
    <w:rsid w:val="1DC718E7"/>
    <w:rsid w:val="1DE01F9D"/>
    <w:rsid w:val="1DEA5675"/>
    <w:rsid w:val="1DFA1C25"/>
    <w:rsid w:val="1E0464E5"/>
    <w:rsid w:val="1E09705D"/>
    <w:rsid w:val="1E1002A8"/>
    <w:rsid w:val="1E603D42"/>
    <w:rsid w:val="1E6C3D98"/>
    <w:rsid w:val="1E712D31"/>
    <w:rsid w:val="1E9E428D"/>
    <w:rsid w:val="1EB92C50"/>
    <w:rsid w:val="1EC65ED4"/>
    <w:rsid w:val="1EE00481"/>
    <w:rsid w:val="1EE47F71"/>
    <w:rsid w:val="1EF83A1C"/>
    <w:rsid w:val="1F3A2287"/>
    <w:rsid w:val="1F460C2C"/>
    <w:rsid w:val="1F525822"/>
    <w:rsid w:val="1F813B73"/>
    <w:rsid w:val="1FBC4A4A"/>
    <w:rsid w:val="1FBF453A"/>
    <w:rsid w:val="1FC2708C"/>
    <w:rsid w:val="1FE67D19"/>
    <w:rsid w:val="1FFB247A"/>
    <w:rsid w:val="200603BB"/>
    <w:rsid w:val="20176124"/>
    <w:rsid w:val="202F0252"/>
    <w:rsid w:val="20660900"/>
    <w:rsid w:val="20A57BD4"/>
    <w:rsid w:val="20CE0ED9"/>
    <w:rsid w:val="20D504B9"/>
    <w:rsid w:val="20D63290"/>
    <w:rsid w:val="20E701EC"/>
    <w:rsid w:val="20EF2BFD"/>
    <w:rsid w:val="20F3093F"/>
    <w:rsid w:val="20F36B91"/>
    <w:rsid w:val="210C7C53"/>
    <w:rsid w:val="21423675"/>
    <w:rsid w:val="216C0A14"/>
    <w:rsid w:val="21982736"/>
    <w:rsid w:val="21C10A3D"/>
    <w:rsid w:val="21CF4F08"/>
    <w:rsid w:val="21ED21E2"/>
    <w:rsid w:val="21F4671D"/>
    <w:rsid w:val="21F506E7"/>
    <w:rsid w:val="223F09BD"/>
    <w:rsid w:val="226F3FF6"/>
    <w:rsid w:val="22873A35"/>
    <w:rsid w:val="2288358D"/>
    <w:rsid w:val="22C17A60"/>
    <w:rsid w:val="22C17D00"/>
    <w:rsid w:val="22C34341"/>
    <w:rsid w:val="22D622C7"/>
    <w:rsid w:val="22EE5862"/>
    <w:rsid w:val="230961F8"/>
    <w:rsid w:val="2311692A"/>
    <w:rsid w:val="233D2346"/>
    <w:rsid w:val="23531B69"/>
    <w:rsid w:val="23775858"/>
    <w:rsid w:val="23931F66"/>
    <w:rsid w:val="23B11CB9"/>
    <w:rsid w:val="23B573D3"/>
    <w:rsid w:val="23BC770E"/>
    <w:rsid w:val="23F24EDE"/>
    <w:rsid w:val="24092228"/>
    <w:rsid w:val="24565E52"/>
    <w:rsid w:val="24637B8A"/>
    <w:rsid w:val="246851A0"/>
    <w:rsid w:val="248E31CC"/>
    <w:rsid w:val="24A00DDE"/>
    <w:rsid w:val="24A3442A"/>
    <w:rsid w:val="24B634E8"/>
    <w:rsid w:val="254700E0"/>
    <w:rsid w:val="2549721D"/>
    <w:rsid w:val="2572277A"/>
    <w:rsid w:val="257F27A2"/>
    <w:rsid w:val="25950E14"/>
    <w:rsid w:val="25E116AE"/>
    <w:rsid w:val="25F37ECB"/>
    <w:rsid w:val="26040EF9"/>
    <w:rsid w:val="26222A19"/>
    <w:rsid w:val="262E41C8"/>
    <w:rsid w:val="26773DC1"/>
    <w:rsid w:val="26A73033"/>
    <w:rsid w:val="26A856E7"/>
    <w:rsid w:val="26B02E2F"/>
    <w:rsid w:val="26DD51A9"/>
    <w:rsid w:val="27595274"/>
    <w:rsid w:val="27816E19"/>
    <w:rsid w:val="27AA5AD0"/>
    <w:rsid w:val="27EB6814"/>
    <w:rsid w:val="27F2701C"/>
    <w:rsid w:val="27F751B9"/>
    <w:rsid w:val="2810618F"/>
    <w:rsid w:val="28335AC5"/>
    <w:rsid w:val="285D307E"/>
    <w:rsid w:val="28A864B3"/>
    <w:rsid w:val="28AB7D51"/>
    <w:rsid w:val="28C3509B"/>
    <w:rsid w:val="28D12425"/>
    <w:rsid w:val="293D4E4D"/>
    <w:rsid w:val="295D54F0"/>
    <w:rsid w:val="297363F1"/>
    <w:rsid w:val="297840D8"/>
    <w:rsid w:val="298E56A9"/>
    <w:rsid w:val="29E96D83"/>
    <w:rsid w:val="2A614B6C"/>
    <w:rsid w:val="2A70255D"/>
    <w:rsid w:val="2A810D6A"/>
    <w:rsid w:val="2A8D5961"/>
    <w:rsid w:val="2AA9206F"/>
    <w:rsid w:val="2AAE58D7"/>
    <w:rsid w:val="2AF94E8D"/>
    <w:rsid w:val="2B1971F4"/>
    <w:rsid w:val="2B2154CC"/>
    <w:rsid w:val="2B292F61"/>
    <w:rsid w:val="2B30453E"/>
    <w:rsid w:val="2B4A1AA4"/>
    <w:rsid w:val="2BB25B5F"/>
    <w:rsid w:val="2BBD4024"/>
    <w:rsid w:val="2BC74169"/>
    <w:rsid w:val="2BD4136D"/>
    <w:rsid w:val="2C0431C2"/>
    <w:rsid w:val="2C0C0B07"/>
    <w:rsid w:val="2C1F083A"/>
    <w:rsid w:val="2C3F0103"/>
    <w:rsid w:val="2C406B1A"/>
    <w:rsid w:val="2C4402A1"/>
    <w:rsid w:val="2C6566E2"/>
    <w:rsid w:val="2CAF6062"/>
    <w:rsid w:val="2CBC077F"/>
    <w:rsid w:val="2CC0621B"/>
    <w:rsid w:val="2CF927C1"/>
    <w:rsid w:val="2D1F486A"/>
    <w:rsid w:val="2D450775"/>
    <w:rsid w:val="2D4652DE"/>
    <w:rsid w:val="2D6D28A1"/>
    <w:rsid w:val="2D725600"/>
    <w:rsid w:val="2D7B7CF2"/>
    <w:rsid w:val="2D7C4B33"/>
    <w:rsid w:val="2DAC4350"/>
    <w:rsid w:val="2DC031A8"/>
    <w:rsid w:val="2DD1025A"/>
    <w:rsid w:val="2DDA6FC9"/>
    <w:rsid w:val="2DE24215"/>
    <w:rsid w:val="2DE47D27"/>
    <w:rsid w:val="2DE75388"/>
    <w:rsid w:val="2DEC6DA9"/>
    <w:rsid w:val="2DF67CC1"/>
    <w:rsid w:val="2E081CF2"/>
    <w:rsid w:val="2E334A71"/>
    <w:rsid w:val="2E382087"/>
    <w:rsid w:val="2E717347"/>
    <w:rsid w:val="2E840E29"/>
    <w:rsid w:val="2EA43279"/>
    <w:rsid w:val="2EB2364A"/>
    <w:rsid w:val="2ED7796B"/>
    <w:rsid w:val="2EF97A69"/>
    <w:rsid w:val="2F7215C9"/>
    <w:rsid w:val="2FA21EAE"/>
    <w:rsid w:val="2FA63021"/>
    <w:rsid w:val="2FDE6C5E"/>
    <w:rsid w:val="300246FB"/>
    <w:rsid w:val="3081342E"/>
    <w:rsid w:val="309061AB"/>
    <w:rsid w:val="30B005FB"/>
    <w:rsid w:val="30D50061"/>
    <w:rsid w:val="31011DCC"/>
    <w:rsid w:val="315E1E05"/>
    <w:rsid w:val="316E5D9D"/>
    <w:rsid w:val="317320B1"/>
    <w:rsid w:val="318E57EC"/>
    <w:rsid w:val="31947FB6"/>
    <w:rsid w:val="31A43456"/>
    <w:rsid w:val="31C81974"/>
    <w:rsid w:val="31F473CC"/>
    <w:rsid w:val="3203475A"/>
    <w:rsid w:val="32171FB4"/>
    <w:rsid w:val="32892EB1"/>
    <w:rsid w:val="329739D7"/>
    <w:rsid w:val="329E6426"/>
    <w:rsid w:val="32B22A57"/>
    <w:rsid w:val="32B90638"/>
    <w:rsid w:val="32D05453"/>
    <w:rsid w:val="33550FE6"/>
    <w:rsid w:val="338D077F"/>
    <w:rsid w:val="33CB12A8"/>
    <w:rsid w:val="33E660E2"/>
    <w:rsid w:val="33E81E5A"/>
    <w:rsid w:val="340842AA"/>
    <w:rsid w:val="343230D5"/>
    <w:rsid w:val="345B087E"/>
    <w:rsid w:val="34806536"/>
    <w:rsid w:val="349D49F2"/>
    <w:rsid w:val="34B561E0"/>
    <w:rsid w:val="34B955A4"/>
    <w:rsid w:val="34DB551B"/>
    <w:rsid w:val="34F32864"/>
    <w:rsid w:val="35224E32"/>
    <w:rsid w:val="35301D0A"/>
    <w:rsid w:val="355C665B"/>
    <w:rsid w:val="35645510"/>
    <w:rsid w:val="35845BB2"/>
    <w:rsid w:val="359F1663"/>
    <w:rsid w:val="35A5520D"/>
    <w:rsid w:val="35A65E24"/>
    <w:rsid w:val="35C06E9C"/>
    <w:rsid w:val="35D97CAC"/>
    <w:rsid w:val="36284AFC"/>
    <w:rsid w:val="362D7FF8"/>
    <w:rsid w:val="3660217B"/>
    <w:rsid w:val="366D4898"/>
    <w:rsid w:val="369462C9"/>
    <w:rsid w:val="369571B1"/>
    <w:rsid w:val="36A609A6"/>
    <w:rsid w:val="36A84DB7"/>
    <w:rsid w:val="36D36FC7"/>
    <w:rsid w:val="36DB7A54"/>
    <w:rsid w:val="36E44B5A"/>
    <w:rsid w:val="37045900"/>
    <w:rsid w:val="374B4BD9"/>
    <w:rsid w:val="3777C27F"/>
    <w:rsid w:val="37AD13F0"/>
    <w:rsid w:val="37C15D3C"/>
    <w:rsid w:val="37C404E8"/>
    <w:rsid w:val="37D38E69"/>
    <w:rsid w:val="37DC7F27"/>
    <w:rsid w:val="38037262"/>
    <w:rsid w:val="384F4464"/>
    <w:rsid w:val="386D4F37"/>
    <w:rsid w:val="38C84008"/>
    <w:rsid w:val="38D421D8"/>
    <w:rsid w:val="38F80D91"/>
    <w:rsid w:val="38FD1F03"/>
    <w:rsid w:val="392F4087"/>
    <w:rsid w:val="3971301F"/>
    <w:rsid w:val="3971469F"/>
    <w:rsid w:val="39AE76A2"/>
    <w:rsid w:val="39D63FC1"/>
    <w:rsid w:val="3A034B38"/>
    <w:rsid w:val="3A10210A"/>
    <w:rsid w:val="3A1E0383"/>
    <w:rsid w:val="3A3052A6"/>
    <w:rsid w:val="3A550671"/>
    <w:rsid w:val="3AC618E0"/>
    <w:rsid w:val="3AE0388B"/>
    <w:rsid w:val="3AF2139A"/>
    <w:rsid w:val="3B03059E"/>
    <w:rsid w:val="3B1B48C3"/>
    <w:rsid w:val="3B4A32D5"/>
    <w:rsid w:val="3B732951"/>
    <w:rsid w:val="3B787F67"/>
    <w:rsid w:val="3B7B1FE2"/>
    <w:rsid w:val="3BAB3E99"/>
    <w:rsid w:val="3C077801"/>
    <w:rsid w:val="3C3D7460"/>
    <w:rsid w:val="3C7544A7"/>
    <w:rsid w:val="3CA408E8"/>
    <w:rsid w:val="3CD8036F"/>
    <w:rsid w:val="3CDB257D"/>
    <w:rsid w:val="3D1B3E52"/>
    <w:rsid w:val="3D1B6DFC"/>
    <w:rsid w:val="3D1D0DC6"/>
    <w:rsid w:val="3D3C6C72"/>
    <w:rsid w:val="3D6A1B31"/>
    <w:rsid w:val="3D981C60"/>
    <w:rsid w:val="3DAE5D24"/>
    <w:rsid w:val="3DCF2655"/>
    <w:rsid w:val="3DD16EF1"/>
    <w:rsid w:val="3DDC2A2F"/>
    <w:rsid w:val="3DF53AF1"/>
    <w:rsid w:val="3E24344E"/>
    <w:rsid w:val="3E804F45"/>
    <w:rsid w:val="3ED9341F"/>
    <w:rsid w:val="3EF20030"/>
    <w:rsid w:val="3F47037C"/>
    <w:rsid w:val="3F4C5993"/>
    <w:rsid w:val="3F4D7ACC"/>
    <w:rsid w:val="3FE33866"/>
    <w:rsid w:val="40161AFD"/>
    <w:rsid w:val="407D5B83"/>
    <w:rsid w:val="40C63523"/>
    <w:rsid w:val="40CE4185"/>
    <w:rsid w:val="40CF0629"/>
    <w:rsid w:val="40E1210B"/>
    <w:rsid w:val="41170E47"/>
    <w:rsid w:val="41287D39"/>
    <w:rsid w:val="41566655"/>
    <w:rsid w:val="416452CC"/>
    <w:rsid w:val="418C02C8"/>
    <w:rsid w:val="4197692A"/>
    <w:rsid w:val="42022EAD"/>
    <w:rsid w:val="42576B28"/>
    <w:rsid w:val="42791D7B"/>
    <w:rsid w:val="427E2307"/>
    <w:rsid w:val="4290203A"/>
    <w:rsid w:val="429338D8"/>
    <w:rsid w:val="42A44060"/>
    <w:rsid w:val="42D27F5D"/>
    <w:rsid w:val="42F74D3A"/>
    <w:rsid w:val="433B2D12"/>
    <w:rsid w:val="433C187A"/>
    <w:rsid w:val="436D0D42"/>
    <w:rsid w:val="43B04E79"/>
    <w:rsid w:val="446F479F"/>
    <w:rsid w:val="449000D0"/>
    <w:rsid w:val="44A44004"/>
    <w:rsid w:val="44A60A60"/>
    <w:rsid w:val="44BC7116"/>
    <w:rsid w:val="44D009F2"/>
    <w:rsid w:val="44E346A3"/>
    <w:rsid w:val="44EF4EBB"/>
    <w:rsid w:val="44FF5255"/>
    <w:rsid w:val="45992FB4"/>
    <w:rsid w:val="459C60A2"/>
    <w:rsid w:val="45B07CEB"/>
    <w:rsid w:val="45DF106D"/>
    <w:rsid w:val="45E04DA8"/>
    <w:rsid w:val="46302710"/>
    <w:rsid w:val="46492C2C"/>
    <w:rsid w:val="46691691"/>
    <w:rsid w:val="469F7CA9"/>
    <w:rsid w:val="46C73652"/>
    <w:rsid w:val="46E13C93"/>
    <w:rsid w:val="46E14C12"/>
    <w:rsid w:val="470703F1"/>
    <w:rsid w:val="470E6139"/>
    <w:rsid w:val="472B40E0"/>
    <w:rsid w:val="473B53B9"/>
    <w:rsid w:val="47A83982"/>
    <w:rsid w:val="47B42327"/>
    <w:rsid w:val="47C744A7"/>
    <w:rsid w:val="47E45FB0"/>
    <w:rsid w:val="47F210A1"/>
    <w:rsid w:val="48461713"/>
    <w:rsid w:val="484F2050"/>
    <w:rsid w:val="485E5282"/>
    <w:rsid w:val="48636DBA"/>
    <w:rsid w:val="48662463"/>
    <w:rsid w:val="48733F90"/>
    <w:rsid w:val="488E2B78"/>
    <w:rsid w:val="489D725F"/>
    <w:rsid w:val="48E2765F"/>
    <w:rsid w:val="490107BF"/>
    <w:rsid w:val="49155047"/>
    <w:rsid w:val="491735F5"/>
    <w:rsid w:val="495F2766"/>
    <w:rsid w:val="4961028C"/>
    <w:rsid w:val="498931C0"/>
    <w:rsid w:val="49B605D8"/>
    <w:rsid w:val="49E14F29"/>
    <w:rsid w:val="4A037596"/>
    <w:rsid w:val="4A0F7CE8"/>
    <w:rsid w:val="4A227A1C"/>
    <w:rsid w:val="4A2C2648"/>
    <w:rsid w:val="4A3E7EEB"/>
    <w:rsid w:val="4A5751EC"/>
    <w:rsid w:val="4A5A33C8"/>
    <w:rsid w:val="4A631DE2"/>
    <w:rsid w:val="4A950A06"/>
    <w:rsid w:val="4A9E529C"/>
    <w:rsid w:val="4AAB0D65"/>
    <w:rsid w:val="4AE10089"/>
    <w:rsid w:val="4B1A6FC7"/>
    <w:rsid w:val="4B2745F4"/>
    <w:rsid w:val="4B533C05"/>
    <w:rsid w:val="4B702A09"/>
    <w:rsid w:val="4B9762C0"/>
    <w:rsid w:val="4BC114B6"/>
    <w:rsid w:val="4BCB40E3"/>
    <w:rsid w:val="4BF40E3E"/>
    <w:rsid w:val="4BF54CBC"/>
    <w:rsid w:val="4BF92A79"/>
    <w:rsid w:val="4C013661"/>
    <w:rsid w:val="4C133023"/>
    <w:rsid w:val="4C1C493F"/>
    <w:rsid w:val="4C2832E3"/>
    <w:rsid w:val="4C6836E0"/>
    <w:rsid w:val="4C72343B"/>
    <w:rsid w:val="4C97005E"/>
    <w:rsid w:val="4CB46925"/>
    <w:rsid w:val="4CDA043F"/>
    <w:rsid w:val="4CF125E9"/>
    <w:rsid w:val="4D2910C1"/>
    <w:rsid w:val="4D2F6C95"/>
    <w:rsid w:val="4D415BF1"/>
    <w:rsid w:val="4D6E34CC"/>
    <w:rsid w:val="4D720E44"/>
    <w:rsid w:val="4D8A372C"/>
    <w:rsid w:val="4D930C30"/>
    <w:rsid w:val="4D981DA3"/>
    <w:rsid w:val="4D9D0675"/>
    <w:rsid w:val="4DB52380"/>
    <w:rsid w:val="4DB82445"/>
    <w:rsid w:val="4DBF44B5"/>
    <w:rsid w:val="4DE1374A"/>
    <w:rsid w:val="4DED20EF"/>
    <w:rsid w:val="4E2C11EE"/>
    <w:rsid w:val="4E2F6BAB"/>
    <w:rsid w:val="4E3F66C2"/>
    <w:rsid w:val="4E5F2049"/>
    <w:rsid w:val="4E7E371F"/>
    <w:rsid w:val="4EE1100B"/>
    <w:rsid w:val="4EF61477"/>
    <w:rsid w:val="4F2C6C47"/>
    <w:rsid w:val="4F6603AB"/>
    <w:rsid w:val="4F9A44F8"/>
    <w:rsid w:val="4FB13C00"/>
    <w:rsid w:val="4FBF3F5F"/>
    <w:rsid w:val="4FC40ECE"/>
    <w:rsid w:val="4FD53FAD"/>
    <w:rsid w:val="4FDE34A8"/>
    <w:rsid w:val="4FE70DC0"/>
    <w:rsid w:val="504802F5"/>
    <w:rsid w:val="509B0528"/>
    <w:rsid w:val="50CB50C2"/>
    <w:rsid w:val="50D2729A"/>
    <w:rsid w:val="510A2FB8"/>
    <w:rsid w:val="51475F29"/>
    <w:rsid w:val="515A1860"/>
    <w:rsid w:val="5167399C"/>
    <w:rsid w:val="51844D09"/>
    <w:rsid w:val="51FE0E60"/>
    <w:rsid w:val="52067C23"/>
    <w:rsid w:val="52344790"/>
    <w:rsid w:val="524E08F9"/>
    <w:rsid w:val="52CB6A66"/>
    <w:rsid w:val="531243A6"/>
    <w:rsid w:val="53226CDE"/>
    <w:rsid w:val="53430A03"/>
    <w:rsid w:val="538B4884"/>
    <w:rsid w:val="53BA6F17"/>
    <w:rsid w:val="541E6057"/>
    <w:rsid w:val="545E3D46"/>
    <w:rsid w:val="547C5F7A"/>
    <w:rsid w:val="54815C87"/>
    <w:rsid w:val="5492579E"/>
    <w:rsid w:val="54D9161F"/>
    <w:rsid w:val="559F4616"/>
    <w:rsid w:val="55DD03CC"/>
    <w:rsid w:val="55F14746"/>
    <w:rsid w:val="560A5808"/>
    <w:rsid w:val="564B4B24"/>
    <w:rsid w:val="564C5E20"/>
    <w:rsid w:val="56680EAC"/>
    <w:rsid w:val="56B57E6A"/>
    <w:rsid w:val="56D71B8E"/>
    <w:rsid w:val="57201787"/>
    <w:rsid w:val="574A2360"/>
    <w:rsid w:val="574C35B8"/>
    <w:rsid w:val="57634C64"/>
    <w:rsid w:val="57CA524F"/>
    <w:rsid w:val="57F10A2D"/>
    <w:rsid w:val="58006EC2"/>
    <w:rsid w:val="58713B85"/>
    <w:rsid w:val="58851F1B"/>
    <w:rsid w:val="5895585D"/>
    <w:rsid w:val="58BA6735"/>
    <w:rsid w:val="58C83DBA"/>
    <w:rsid w:val="58E40592"/>
    <w:rsid w:val="58E70023"/>
    <w:rsid w:val="58EF7663"/>
    <w:rsid w:val="59060509"/>
    <w:rsid w:val="59441031"/>
    <w:rsid w:val="595427A7"/>
    <w:rsid w:val="598D5FC8"/>
    <w:rsid w:val="59D5279A"/>
    <w:rsid w:val="59FA6FAF"/>
    <w:rsid w:val="5A0E78F5"/>
    <w:rsid w:val="5A0F5423"/>
    <w:rsid w:val="5A3648DD"/>
    <w:rsid w:val="5AED4C1B"/>
    <w:rsid w:val="5B1651F0"/>
    <w:rsid w:val="5B1A029B"/>
    <w:rsid w:val="5B1A473F"/>
    <w:rsid w:val="5B294982"/>
    <w:rsid w:val="5B4026A7"/>
    <w:rsid w:val="5B791466"/>
    <w:rsid w:val="5B7D6AE1"/>
    <w:rsid w:val="5B8075D9"/>
    <w:rsid w:val="5BC621D1"/>
    <w:rsid w:val="5BE722FE"/>
    <w:rsid w:val="5BF63263"/>
    <w:rsid w:val="5C423F4D"/>
    <w:rsid w:val="5C6661EB"/>
    <w:rsid w:val="5C78796F"/>
    <w:rsid w:val="5C98591B"/>
    <w:rsid w:val="5CAE210A"/>
    <w:rsid w:val="5CC46711"/>
    <w:rsid w:val="5CCC14DD"/>
    <w:rsid w:val="5CDE306E"/>
    <w:rsid w:val="5CF24B7D"/>
    <w:rsid w:val="5D123920"/>
    <w:rsid w:val="5D215911"/>
    <w:rsid w:val="5D3A4C25"/>
    <w:rsid w:val="5D4B66AB"/>
    <w:rsid w:val="5D7B55B3"/>
    <w:rsid w:val="5D7E0888"/>
    <w:rsid w:val="5D823AA5"/>
    <w:rsid w:val="5DAC568A"/>
    <w:rsid w:val="5DB33122"/>
    <w:rsid w:val="5DC6470A"/>
    <w:rsid w:val="5DFE7654"/>
    <w:rsid w:val="5E0C4813"/>
    <w:rsid w:val="5E2751A9"/>
    <w:rsid w:val="5E40270F"/>
    <w:rsid w:val="5EC21376"/>
    <w:rsid w:val="5ED35331"/>
    <w:rsid w:val="5EDA66BF"/>
    <w:rsid w:val="5EFA760C"/>
    <w:rsid w:val="5F0813AC"/>
    <w:rsid w:val="5F2D2C93"/>
    <w:rsid w:val="5F300E57"/>
    <w:rsid w:val="5F3062DF"/>
    <w:rsid w:val="5F3B6A32"/>
    <w:rsid w:val="5F5C70D4"/>
    <w:rsid w:val="5F8F5816"/>
    <w:rsid w:val="5FA94F36"/>
    <w:rsid w:val="5FB46F10"/>
    <w:rsid w:val="5FDA449D"/>
    <w:rsid w:val="60080E3D"/>
    <w:rsid w:val="602D0A71"/>
    <w:rsid w:val="605306F1"/>
    <w:rsid w:val="60D31618"/>
    <w:rsid w:val="60E42575"/>
    <w:rsid w:val="6109328C"/>
    <w:rsid w:val="610D1192"/>
    <w:rsid w:val="613320B7"/>
    <w:rsid w:val="613E2DAE"/>
    <w:rsid w:val="61B67F7D"/>
    <w:rsid w:val="61D03DA9"/>
    <w:rsid w:val="61F25448"/>
    <w:rsid w:val="62317EC2"/>
    <w:rsid w:val="623A61BF"/>
    <w:rsid w:val="62593D9F"/>
    <w:rsid w:val="62792788"/>
    <w:rsid w:val="6281408B"/>
    <w:rsid w:val="629B3934"/>
    <w:rsid w:val="629E17B2"/>
    <w:rsid w:val="62CC4571"/>
    <w:rsid w:val="62CE653B"/>
    <w:rsid w:val="637F0F20"/>
    <w:rsid w:val="63A9967E"/>
    <w:rsid w:val="63CA2C8D"/>
    <w:rsid w:val="64155AA4"/>
    <w:rsid w:val="64203524"/>
    <w:rsid w:val="642D7291"/>
    <w:rsid w:val="646E2251"/>
    <w:rsid w:val="64983625"/>
    <w:rsid w:val="64AD71CF"/>
    <w:rsid w:val="64BC23C3"/>
    <w:rsid w:val="65130235"/>
    <w:rsid w:val="6530528B"/>
    <w:rsid w:val="65534AD5"/>
    <w:rsid w:val="658F4E41"/>
    <w:rsid w:val="66576847"/>
    <w:rsid w:val="66A95726"/>
    <w:rsid w:val="66CE4F14"/>
    <w:rsid w:val="66EC6CF6"/>
    <w:rsid w:val="670D0E9E"/>
    <w:rsid w:val="67310E46"/>
    <w:rsid w:val="673E0C66"/>
    <w:rsid w:val="67BB5926"/>
    <w:rsid w:val="67F53711"/>
    <w:rsid w:val="67F605A6"/>
    <w:rsid w:val="68607899"/>
    <w:rsid w:val="686E1C26"/>
    <w:rsid w:val="687158D5"/>
    <w:rsid w:val="68802085"/>
    <w:rsid w:val="689B59AF"/>
    <w:rsid w:val="68A5389A"/>
    <w:rsid w:val="68D8137E"/>
    <w:rsid w:val="68D945B8"/>
    <w:rsid w:val="68EC58DD"/>
    <w:rsid w:val="692C3FBB"/>
    <w:rsid w:val="69584DB0"/>
    <w:rsid w:val="695A0B28"/>
    <w:rsid w:val="69622E84"/>
    <w:rsid w:val="697C3CE8"/>
    <w:rsid w:val="69B53FB1"/>
    <w:rsid w:val="69EC54F9"/>
    <w:rsid w:val="69EC5A05"/>
    <w:rsid w:val="6A505EE7"/>
    <w:rsid w:val="6A70612A"/>
    <w:rsid w:val="6A7D43A3"/>
    <w:rsid w:val="6ADB7A47"/>
    <w:rsid w:val="6B036F9E"/>
    <w:rsid w:val="6B3C31E2"/>
    <w:rsid w:val="6B410C9A"/>
    <w:rsid w:val="6B513865"/>
    <w:rsid w:val="6B515C84"/>
    <w:rsid w:val="6B9A2A65"/>
    <w:rsid w:val="6BBF2EC5"/>
    <w:rsid w:val="6BD36970"/>
    <w:rsid w:val="6BE107F1"/>
    <w:rsid w:val="6BE50451"/>
    <w:rsid w:val="6BFF59B7"/>
    <w:rsid w:val="6C5842C8"/>
    <w:rsid w:val="6C90660F"/>
    <w:rsid w:val="6C97174C"/>
    <w:rsid w:val="6C9C4FB4"/>
    <w:rsid w:val="6CBA1035"/>
    <w:rsid w:val="6D5546C4"/>
    <w:rsid w:val="6D617FAC"/>
    <w:rsid w:val="6DAA3701"/>
    <w:rsid w:val="6DC01256"/>
    <w:rsid w:val="6DD30EA9"/>
    <w:rsid w:val="6E091CE6"/>
    <w:rsid w:val="6E4679F8"/>
    <w:rsid w:val="6E641B01"/>
    <w:rsid w:val="6E751F61"/>
    <w:rsid w:val="6E98764A"/>
    <w:rsid w:val="6F17516E"/>
    <w:rsid w:val="6F282B2F"/>
    <w:rsid w:val="6F286FD3"/>
    <w:rsid w:val="6F456B0A"/>
    <w:rsid w:val="6F51652A"/>
    <w:rsid w:val="6F546CDB"/>
    <w:rsid w:val="6F8F0E00"/>
    <w:rsid w:val="6F96218E"/>
    <w:rsid w:val="6FB24D95"/>
    <w:rsid w:val="6FB63C50"/>
    <w:rsid w:val="6FB8403F"/>
    <w:rsid w:val="6FC077C2"/>
    <w:rsid w:val="6FD27A67"/>
    <w:rsid w:val="6FEC3592"/>
    <w:rsid w:val="705C33D8"/>
    <w:rsid w:val="7065127C"/>
    <w:rsid w:val="707D6919"/>
    <w:rsid w:val="7089584F"/>
    <w:rsid w:val="70950C99"/>
    <w:rsid w:val="70B328CC"/>
    <w:rsid w:val="70FF3D63"/>
    <w:rsid w:val="71365570"/>
    <w:rsid w:val="71397275"/>
    <w:rsid w:val="71502450"/>
    <w:rsid w:val="71C254BD"/>
    <w:rsid w:val="71C72AD3"/>
    <w:rsid w:val="72060BC8"/>
    <w:rsid w:val="72312642"/>
    <w:rsid w:val="723143F0"/>
    <w:rsid w:val="72882D04"/>
    <w:rsid w:val="72AA7EE7"/>
    <w:rsid w:val="72B86592"/>
    <w:rsid w:val="72D931C9"/>
    <w:rsid w:val="72DB435C"/>
    <w:rsid w:val="730A5D0E"/>
    <w:rsid w:val="732E0930"/>
    <w:rsid w:val="737A3B75"/>
    <w:rsid w:val="73893567"/>
    <w:rsid w:val="738B18DE"/>
    <w:rsid w:val="73B70925"/>
    <w:rsid w:val="73C3376E"/>
    <w:rsid w:val="73E01C2A"/>
    <w:rsid w:val="73FE47A6"/>
    <w:rsid w:val="741C69DA"/>
    <w:rsid w:val="74363F40"/>
    <w:rsid w:val="746C1710"/>
    <w:rsid w:val="74890514"/>
    <w:rsid w:val="748922C2"/>
    <w:rsid w:val="74EA0887"/>
    <w:rsid w:val="74F636CF"/>
    <w:rsid w:val="74F643FF"/>
    <w:rsid w:val="74F65FDA"/>
    <w:rsid w:val="75096F5F"/>
    <w:rsid w:val="75322959"/>
    <w:rsid w:val="753541F8"/>
    <w:rsid w:val="75412B9C"/>
    <w:rsid w:val="75494B4F"/>
    <w:rsid w:val="756B5E6B"/>
    <w:rsid w:val="757D16FB"/>
    <w:rsid w:val="75812F99"/>
    <w:rsid w:val="75900173"/>
    <w:rsid w:val="759E3B4B"/>
    <w:rsid w:val="75B37797"/>
    <w:rsid w:val="75E35A02"/>
    <w:rsid w:val="765E4208"/>
    <w:rsid w:val="767E572A"/>
    <w:rsid w:val="76AD7DBE"/>
    <w:rsid w:val="76B05511"/>
    <w:rsid w:val="76F22A3C"/>
    <w:rsid w:val="7719700C"/>
    <w:rsid w:val="77366005"/>
    <w:rsid w:val="7758241F"/>
    <w:rsid w:val="775841CD"/>
    <w:rsid w:val="776114DE"/>
    <w:rsid w:val="77852348"/>
    <w:rsid w:val="77C75FA2"/>
    <w:rsid w:val="77E6EB40"/>
    <w:rsid w:val="77F923B9"/>
    <w:rsid w:val="781E7167"/>
    <w:rsid w:val="78252301"/>
    <w:rsid w:val="784905EA"/>
    <w:rsid w:val="78857244"/>
    <w:rsid w:val="78917997"/>
    <w:rsid w:val="78941235"/>
    <w:rsid w:val="789A5280"/>
    <w:rsid w:val="78AB5337"/>
    <w:rsid w:val="78DA2C59"/>
    <w:rsid w:val="79021305"/>
    <w:rsid w:val="792627D5"/>
    <w:rsid w:val="797E262A"/>
    <w:rsid w:val="79DD09BA"/>
    <w:rsid w:val="79FB745F"/>
    <w:rsid w:val="7A4647B1"/>
    <w:rsid w:val="7A5C5D83"/>
    <w:rsid w:val="7A7F161F"/>
    <w:rsid w:val="7AC02107"/>
    <w:rsid w:val="7ACF29F8"/>
    <w:rsid w:val="7AD10D62"/>
    <w:rsid w:val="7B12024A"/>
    <w:rsid w:val="7B1B5C3E"/>
    <w:rsid w:val="7B4927AB"/>
    <w:rsid w:val="7B6E0463"/>
    <w:rsid w:val="7B6E3FBF"/>
    <w:rsid w:val="7B713AB0"/>
    <w:rsid w:val="7B8F1175"/>
    <w:rsid w:val="7B9D48A5"/>
    <w:rsid w:val="7BB5765B"/>
    <w:rsid w:val="7BC167E5"/>
    <w:rsid w:val="7BE129E3"/>
    <w:rsid w:val="7BFF2E69"/>
    <w:rsid w:val="7C336FB7"/>
    <w:rsid w:val="7C3658C0"/>
    <w:rsid w:val="7C36642B"/>
    <w:rsid w:val="7C396069"/>
    <w:rsid w:val="7C3F595C"/>
    <w:rsid w:val="7C5230C7"/>
    <w:rsid w:val="7C61292A"/>
    <w:rsid w:val="7C6B2EB9"/>
    <w:rsid w:val="7CA35EEB"/>
    <w:rsid w:val="7CBF1A92"/>
    <w:rsid w:val="7CCD43C5"/>
    <w:rsid w:val="7D056BA5"/>
    <w:rsid w:val="7D4A280A"/>
    <w:rsid w:val="7D513B99"/>
    <w:rsid w:val="7D7FD2ED"/>
    <w:rsid w:val="7DC26844"/>
    <w:rsid w:val="7DD02EB0"/>
    <w:rsid w:val="7DD26996"/>
    <w:rsid w:val="7DE20C95"/>
    <w:rsid w:val="7E3C03A5"/>
    <w:rsid w:val="7EB2B28D"/>
    <w:rsid w:val="7EC16B32"/>
    <w:rsid w:val="7EDF26C3"/>
    <w:rsid w:val="7EEF7CDF"/>
    <w:rsid w:val="7EF93831"/>
    <w:rsid w:val="7EFB3D1C"/>
    <w:rsid w:val="7F145E82"/>
    <w:rsid w:val="7F2C6416"/>
    <w:rsid w:val="7F2F3A66"/>
    <w:rsid w:val="7F511C2E"/>
    <w:rsid w:val="7F777F59"/>
    <w:rsid w:val="7F932781"/>
    <w:rsid w:val="7FCE6DA9"/>
    <w:rsid w:val="7FCFC0C2"/>
    <w:rsid w:val="7FD91C23"/>
    <w:rsid w:val="7FF63BB4"/>
    <w:rsid w:val="7FF93940"/>
    <w:rsid w:val="7FFB31EC"/>
    <w:rsid w:val="7FFB75F7"/>
    <w:rsid w:val="87BFF79E"/>
    <w:rsid w:val="B1AE28CB"/>
    <w:rsid w:val="B476F9DE"/>
    <w:rsid w:val="B5DB4831"/>
    <w:rsid w:val="BFF141B4"/>
    <w:rsid w:val="BFFE84F7"/>
    <w:rsid w:val="D6BD27BB"/>
    <w:rsid w:val="DE3789CA"/>
    <w:rsid w:val="DF298E30"/>
    <w:rsid w:val="E77F55B2"/>
    <w:rsid w:val="E7BD1AF1"/>
    <w:rsid w:val="ECDDA1AA"/>
    <w:rsid w:val="F27FFA72"/>
    <w:rsid w:val="F3772B83"/>
    <w:rsid w:val="F7F5D673"/>
    <w:rsid w:val="FBFF3FE2"/>
    <w:rsid w:val="FEEBE424"/>
    <w:rsid w:val="FFB185DD"/>
    <w:rsid w:val="FFB74F7B"/>
    <w:rsid w:val="FFC5DFF8"/>
    <w:rsid w:val="FFF754F9"/>
    <w:rsid w:val="FFFF6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unhideWhenUsed/>
    <w:qFormat/>
    <w:uiPriority w:val="0"/>
    <w:pPr>
      <w:spacing w:before="100" w:beforeLines="100" w:after="100" w:afterLines="100" w:line="600" w:lineRule="exact"/>
      <w:jc w:val="both"/>
      <w:outlineLvl w:val="1"/>
    </w:pPr>
    <w:rPr>
      <w:rFonts w:ascii="Cambria" w:hAnsi="Cambria" w:eastAsia="KaiTi" w:cs="Times New Roman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  <w:rPr>
      <w:rFonts w:ascii="DengXian" w:hAnsi="DengXian" w:eastAsia="DengXi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autoRedefine/>
    <w:qFormat/>
    <w:uiPriority w:val="0"/>
    <w:pPr>
      <w:spacing w:after="0"/>
      <w:ind w:left="200" w:firstLine="200" w:firstLineChars="200"/>
    </w:pPr>
    <w:rPr>
      <w:rFonts w:ascii="Times New Roman" w:hAnsi="Times New Roman" w:eastAsia="宋体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Emphasis"/>
    <w:basedOn w:val="11"/>
    <w:autoRedefine/>
    <w:qFormat/>
    <w:uiPriority w:val="0"/>
    <w:rPr>
      <w:i/>
    </w:rPr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5">
    <w:name w:val="标题 2 Char"/>
    <w:basedOn w:val="11"/>
    <w:link w:val="2"/>
    <w:autoRedefine/>
    <w:qFormat/>
    <w:uiPriority w:val="9"/>
    <w:rPr>
      <w:rFonts w:ascii="Cambria" w:hAnsi="Cambria" w:eastAsia="KaiTi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5430</Words>
  <Characters>5502</Characters>
  <Lines>0</Lines>
  <Paragraphs>0</Paragraphs>
  <TotalTime>32</TotalTime>
  <ScaleCrop>false</ScaleCrop>
  <LinksUpToDate>false</LinksUpToDate>
  <CharactersWithSpaces>5542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2023-07-24T23:13:00Z</dcterms:created>
  <dc:creator>jiang</dc:creator>
  <cp:lastModifiedBy>claudia</cp:lastModifiedBy>
  <cp:lastPrinted>2024-01-24T08:26:00Z</cp:lastPrinted>
  <dcterms:modified xsi:type="dcterms:W3CDTF">2024-01-31T08:26:46Z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8817BACF28864396B440C76492FAFB62_13</vt:lpwstr>
  </property>
</Properties>
</file>