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DF" w:rsidRDefault="00D07ADF">
      <w:pPr>
        <w:rPr>
          <w:rFonts w:ascii="仿宋_GB2312" w:eastAsia="仿宋_GB2312" w:hAnsi="仿宋_GB2312" w:cs="仿宋_GB2312"/>
          <w:sz w:val="32"/>
          <w:szCs w:val="32"/>
        </w:rPr>
      </w:pPr>
    </w:p>
    <w:p w:rsidR="00D07ADF" w:rsidRDefault="00BA0849">
      <w:pPr>
        <w:spacing w:line="360" w:lineRule="auto"/>
        <w:rPr>
          <w:rFonts w:ascii="Times New Roman" w:hAnsi="Times New Roman" w:cs="Times New Roman"/>
          <w:sz w:val="30"/>
        </w:rPr>
      </w:pPr>
      <w:r>
        <w:rPr>
          <w:rFonts w:ascii="Times New Roman" w:hAnsi="Times New Roman" w:cs="Times New Roman"/>
          <w:sz w:val="30"/>
        </w:rPr>
        <w:t xml:space="preserve">                                       </w:t>
      </w:r>
    </w:p>
    <w:p w:rsidR="00D07ADF" w:rsidRDefault="00D07ADF">
      <w:pPr>
        <w:spacing w:line="360" w:lineRule="auto"/>
        <w:rPr>
          <w:rFonts w:ascii="Times New Roman" w:hAnsi="Times New Roman" w:cs="Times New Roman"/>
          <w:sz w:val="30"/>
        </w:rPr>
      </w:pPr>
    </w:p>
    <w:p w:rsidR="00D07ADF" w:rsidRDefault="00D07ADF">
      <w:pPr>
        <w:spacing w:line="360" w:lineRule="auto"/>
        <w:rPr>
          <w:rFonts w:ascii="Times New Roman" w:hAnsi="Times New Roman" w:cs="Times New Roman"/>
          <w:sz w:val="28"/>
        </w:rPr>
      </w:pPr>
    </w:p>
    <w:p w:rsidR="00D07ADF" w:rsidRDefault="00BA0849">
      <w:pPr>
        <w:spacing w:line="360" w:lineRule="auto"/>
        <w:jc w:val="center"/>
        <w:rPr>
          <w:rFonts w:ascii="宋体" w:hAnsi="宋体" w:cs="Times New Roman"/>
          <w:b/>
          <w:bCs/>
          <w:sz w:val="52"/>
          <w:szCs w:val="52"/>
        </w:rPr>
      </w:pPr>
      <w:r>
        <w:rPr>
          <w:rFonts w:ascii="宋体" w:hAnsi="宋体" w:cs="Times New Roman" w:hint="eastAsia"/>
          <w:b/>
          <w:bCs/>
          <w:sz w:val="52"/>
          <w:szCs w:val="52"/>
        </w:rPr>
        <w:t>济南市</w:t>
      </w:r>
      <w:r>
        <w:rPr>
          <w:rFonts w:ascii="宋体" w:hAnsi="宋体" w:cs="Times New Roman"/>
          <w:b/>
          <w:bCs/>
          <w:sz w:val="52"/>
          <w:szCs w:val="52"/>
        </w:rPr>
        <w:t>绿色工厂自评价报告</w:t>
      </w:r>
    </w:p>
    <w:p w:rsidR="00D07ADF" w:rsidRDefault="00BA0849">
      <w:pPr>
        <w:spacing w:line="360" w:lineRule="auto"/>
        <w:jc w:val="center"/>
        <w:rPr>
          <w:rFonts w:ascii="楷体" w:eastAsia="楷体" w:hAnsi="楷体" w:cs="Times New Roman"/>
          <w:b/>
          <w:bCs/>
          <w:sz w:val="32"/>
          <w:szCs w:val="32"/>
        </w:rPr>
      </w:pPr>
      <w:r>
        <w:rPr>
          <w:rFonts w:ascii="楷体" w:eastAsia="楷体" w:hAnsi="楷体" w:cs="Times New Roman" w:hint="eastAsia"/>
          <w:b/>
          <w:bCs/>
          <w:sz w:val="32"/>
          <w:szCs w:val="32"/>
        </w:rPr>
        <w:t>（参考格式）</w:t>
      </w:r>
    </w:p>
    <w:p w:rsidR="00D07ADF" w:rsidRDefault="00D07ADF">
      <w:pPr>
        <w:spacing w:line="360" w:lineRule="auto"/>
        <w:rPr>
          <w:rFonts w:ascii="Times New Roman" w:hAnsi="Times New Roman" w:cs="Times New Roman"/>
          <w:b/>
          <w:sz w:val="52"/>
        </w:rPr>
      </w:pPr>
    </w:p>
    <w:p w:rsidR="00D07ADF" w:rsidRDefault="00D07ADF">
      <w:pPr>
        <w:spacing w:line="360" w:lineRule="auto"/>
        <w:rPr>
          <w:rFonts w:ascii="Times New Roman" w:hAnsi="Times New Roman" w:cs="Times New Roman"/>
          <w:b/>
          <w:sz w:val="52"/>
        </w:rPr>
      </w:pPr>
    </w:p>
    <w:p w:rsidR="00D07ADF" w:rsidRDefault="00D07ADF">
      <w:pPr>
        <w:spacing w:line="360" w:lineRule="auto"/>
        <w:rPr>
          <w:rFonts w:ascii="仿宋_GB2312" w:eastAsia="仿宋_GB2312" w:hAnsi="仿宋_GB2312" w:cs="仿宋_GB2312"/>
          <w:b/>
          <w:sz w:val="52"/>
        </w:rPr>
      </w:pPr>
    </w:p>
    <w:p w:rsidR="00D07ADF" w:rsidRDefault="00BA0849">
      <w:pPr>
        <w:spacing w:line="360" w:lineRule="auto"/>
        <w:ind w:firstLineChars="600" w:firstLine="1800"/>
        <w:rPr>
          <w:rFonts w:ascii="仿宋_GB2312" w:eastAsia="仿宋_GB2312" w:hAnsi="仿宋_GB2312" w:cs="仿宋_GB2312"/>
          <w:sz w:val="30"/>
          <w:u w:val="single"/>
        </w:rPr>
      </w:pPr>
      <w:r>
        <w:rPr>
          <w:rFonts w:ascii="仿宋_GB2312" w:eastAsia="仿宋_GB2312" w:hAnsi="仿宋_GB2312" w:cs="仿宋_GB2312" w:hint="eastAsia"/>
          <w:sz w:val="30"/>
        </w:rPr>
        <w:t>申报企业：</w:t>
      </w:r>
      <w:r>
        <w:rPr>
          <w:rFonts w:ascii="仿宋_GB2312" w:eastAsia="仿宋_GB2312" w:hAnsi="仿宋_GB2312" w:cs="仿宋_GB2312" w:hint="eastAsia"/>
          <w:sz w:val="30"/>
          <w:u w:val="single"/>
        </w:rPr>
        <w:t xml:space="preserve">                          </w:t>
      </w:r>
    </w:p>
    <w:p w:rsidR="00D07ADF" w:rsidRDefault="00D07ADF">
      <w:pPr>
        <w:spacing w:line="360" w:lineRule="auto"/>
        <w:ind w:firstLineChars="600" w:firstLine="1800"/>
        <w:rPr>
          <w:rFonts w:ascii="仿宋_GB2312" w:eastAsia="仿宋_GB2312" w:hAnsi="仿宋_GB2312" w:cs="仿宋_GB2312"/>
          <w:sz w:val="30"/>
          <w:u w:val="single"/>
        </w:rPr>
      </w:pPr>
    </w:p>
    <w:p w:rsidR="00D07ADF" w:rsidRDefault="00BA0849">
      <w:pPr>
        <w:spacing w:line="360" w:lineRule="auto"/>
        <w:ind w:firstLineChars="600" w:firstLine="1800"/>
        <w:rPr>
          <w:rFonts w:ascii="仿宋_GB2312" w:eastAsia="仿宋_GB2312" w:hAnsi="仿宋_GB2312" w:cs="仿宋_GB2312"/>
          <w:sz w:val="30"/>
        </w:rPr>
      </w:pPr>
      <w:r>
        <w:rPr>
          <w:rFonts w:ascii="仿宋_GB2312" w:eastAsia="仿宋_GB2312" w:hAnsi="仿宋_GB2312" w:cs="仿宋_GB2312" w:hint="eastAsia"/>
          <w:sz w:val="30"/>
        </w:rPr>
        <w:t>所在区县：</w:t>
      </w:r>
      <w:r>
        <w:rPr>
          <w:rFonts w:ascii="仿宋_GB2312" w:eastAsia="仿宋_GB2312" w:hAnsi="仿宋_GB2312" w:cs="仿宋_GB2312" w:hint="eastAsia"/>
          <w:sz w:val="30"/>
          <w:u w:val="single"/>
        </w:rPr>
        <w:t xml:space="preserve">                          </w:t>
      </w:r>
    </w:p>
    <w:p w:rsidR="00D07ADF" w:rsidRDefault="00D07ADF">
      <w:pPr>
        <w:spacing w:line="360" w:lineRule="auto"/>
        <w:ind w:firstLineChars="600" w:firstLine="1800"/>
        <w:rPr>
          <w:rFonts w:ascii="仿宋_GB2312" w:eastAsia="仿宋_GB2312" w:hAnsi="仿宋_GB2312" w:cs="仿宋_GB2312"/>
          <w:sz w:val="30"/>
        </w:rPr>
      </w:pPr>
    </w:p>
    <w:p w:rsidR="00D07ADF" w:rsidRDefault="00D07ADF">
      <w:pPr>
        <w:spacing w:line="360" w:lineRule="auto"/>
        <w:rPr>
          <w:sz w:val="30"/>
        </w:rPr>
      </w:pPr>
    </w:p>
    <w:p w:rsidR="00D07ADF" w:rsidRDefault="00D07ADF">
      <w:pPr>
        <w:spacing w:line="360" w:lineRule="auto"/>
        <w:rPr>
          <w:sz w:val="30"/>
        </w:rPr>
      </w:pPr>
    </w:p>
    <w:p w:rsidR="00D07ADF" w:rsidRDefault="00D07ADF">
      <w:pPr>
        <w:spacing w:line="360" w:lineRule="auto"/>
        <w:rPr>
          <w:sz w:val="30"/>
        </w:rPr>
      </w:pPr>
    </w:p>
    <w:p w:rsidR="00D07ADF" w:rsidRDefault="00D07ADF">
      <w:pPr>
        <w:spacing w:line="360" w:lineRule="auto"/>
        <w:rPr>
          <w:sz w:val="30"/>
        </w:rPr>
      </w:pPr>
    </w:p>
    <w:p w:rsidR="00D07ADF" w:rsidRDefault="00D07ADF">
      <w:pPr>
        <w:spacing w:line="360" w:lineRule="auto"/>
        <w:jc w:val="center"/>
        <w:rPr>
          <w:rFonts w:ascii="仿宋_GB2312" w:eastAsia="仿宋_GB2312" w:hAnsi="仿宋_GB2312" w:cs="仿宋_GB2312"/>
          <w:sz w:val="30"/>
        </w:rPr>
      </w:pPr>
    </w:p>
    <w:p w:rsidR="00D07ADF" w:rsidRDefault="00BA0849">
      <w:pPr>
        <w:spacing w:line="360" w:lineRule="auto"/>
        <w:jc w:val="center"/>
        <w:rPr>
          <w:rFonts w:ascii="Times New Roman" w:eastAsia="仿宋_GB2312" w:hAnsi="Times New Roman" w:cs="Times New Roman"/>
          <w:sz w:val="30"/>
        </w:rPr>
      </w:pPr>
      <w:r>
        <w:rPr>
          <w:rFonts w:ascii="Times New Roman" w:eastAsia="仿宋_GB2312" w:hAnsi="Times New Roman" w:cs="Times New Roman"/>
          <w:sz w:val="30"/>
        </w:rPr>
        <w:t xml:space="preserve">20  </w:t>
      </w:r>
      <w:r>
        <w:rPr>
          <w:rFonts w:ascii="Times New Roman" w:eastAsia="仿宋_GB2312" w:hAnsi="仿宋_GB2312" w:cs="Times New Roman" w:hint="eastAsia"/>
          <w:sz w:val="30"/>
        </w:rPr>
        <w:t>年</w:t>
      </w:r>
      <w:r>
        <w:rPr>
          <w:rFonts w:ascii="Times New Roman" w:eastAsia="仿宋_GB2312" w:hAnsi="Times New Roman" w:cs="Times New Roman"/>
          <w:sz w:val="30"/>
        </w:rPr>
        <w:t xml:space="preserve">    </w:t>
      </w:r>
      <w:r>
        <w:rPr>
          <w:rFonts w:ascii="Times New Roman" w:eastAsia="仿宋_GB2312" w:hAnsi="仿宋_GB2312" w:cs="Times New Roman" w:hint="eastAsia"/>
          <w:sz w:val="30"/>
        </w:rPr>
        <w:t>月</w:t>
      </w:r>
      <w:r>
        <w:rPr>
          <w:rFonts w:ascii="Times New Roman" w:eastAsia="仿宋_GB2312" w:hAnsi="Times New Roman" w:cs="Times New Roman"/>
          <w:sz w:val="30"/>
        </w:rPr>
        <w:t xml:space="preserve">    </w:t>
      </w:r>
      <w:r>
        <w:rPr>
          <w:rFonts w:ascii="Times New Roman" w:eastAsia="仿宋_GB2312" w:hAnsi="仿宋_GB2312" w:cs="Times New Roman" w:hint="eastAsia"/>
          <w:sz w:val="30"/>
        </w:rPr>
        <w:t>日</w:t>
      </w:r>
    </w:p>
    <w:p w:rsidR="00D07ADF" w:rsidRDefault="00D07ADF">
      <w:pPr>
        <w:spacing w:line="360" w:lineRule="auto"/>
        <w:rPr>
          <w:rFonts w:ascii="仿宋_GB2312" w:eastAsia="仿宋_GB2312" w:hAnsi="仿宋_GB2312" w:cs="仿宋_GB2312"/>
          <w:b/>
          <w:sz w:val="30"/>
        </w:rPr>
        <w:sectPr w:rsidR="00D07AD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D07ADF" w:rsidRDefault="00D07ADF">
      <w:pPr>
        <w:spacing w:line="360" w:lineRule="auto"/>
        <w:jc w:val="center"/>
        <w:rPr>
          <w:rFonts w:ascii="宋体" w:hAnsi="宋体" w:cs="Times New Roman"/>
          <w:b/>
          <w:sz w:val="48"/>
          <w:szCs w:val="48"/>
        </w:rPr>
      </w:pPr>
    </w:p>
    <w:p w:rsidR="00D07ADF" w:rsidRDefault="00D07ADF">
      <w:pPr>
        <w:spacing w:line="360" w:lineRule="auto"/>
        <w:jc w:val="center"/>
        <w:rPr>
          <w:rFonts w:ascii="宋体" w:hAnsi="宋体" w:cs="Times New Roman"/>
          <w:b/>
          <w:sz w:val="48"/>
          <w:szCs w:val="48"/>
        </w:rPr>
      </w:pPr>
    </w:p>
    <w:p w:rsidR="00D07ADF" w:rsidRDefault="00BA0849">
      <w:pPr>
        <w:spacing w:line="360" w:lineRule="auto"/>
        <w:jc w:val="center"/>
        <w:rPr>
          <w:rFonts w:ascii="宋体" w:hAnsi="宋体" w:cs="Times New Roman"/>
          <w:b/>
          <w:sz w:val="48"/>
          <w:szCs w:val="48"/>
        </w:rPr>
      </w:pPr>
      <w:r>
        <w:rPr>
          <w:rFonts w:ascii="宋体" w:hAnsi="宋体" w:cs="Times New Roman"/>
          <w:b/>
          <w:sz w:val="48"/>
          <w:szCs w:val="48"/>
        </w:rPr>
        <w:t>填</w:t>
      </w:r>
      <w:r>
        <w:rPr>
          <w:rFonts w:ascii="宋体" w:hAnsi="宋体" w:cs="Times New Roman"/>
          <w:b/>
          <w:sz w:val="48"/>
          <w:szCs w:val="48"/>
        </w:rPr>
        <w:t xml:space="preserve"> </w:t>
      </w:r>
      <w:r>
        <w:rPr>
          <w:rFonts w:ascii="宋体" w:hAnsi="宋体" w:cs="Times New Roman"/>
          <w:b/>
          <w:sz w:val="48"/>
          <w:szCs w:val="48"/>
        </w:rPr>
        <w:t>写</w:t>
      </w:r>
      <w:r>
        <w:rPr>
          <w:rFonts w:ascii="宋体" w:hAnsi="宋体" w:cs="Times New Roman"/>
          <w:b/>
          <w:sz w:val="48"/>
          <w:szCs w:val="48"/>
        </w:rPr>
        <w:t xml:space="preserve"> </w:t>
      </w:r>
      <w:r>
        <w:rPr>
          <w:rFonts w:ascii="宋体" w:hAnsi="宋体" w:cs="Times New Roman"/>
          <w:b/>
          <w:sz w:val="48"/>
          <w:szCs w:val="48"/>
        </w:rPr>
        <w:t>说</w:t>
      </w:r>
      <w:r>
        <w:rPr>
          <w:rFonts w:ascii="宋体" w:hAnsi="宋体" w:cs="Times New Roman"/>
          <w:b/>
          <w:sz w:val="48"/>
          <w:szCs w:val="48"/>
        </w:rPr>
        <w:t xml:space="preserve"> </w:t>
      </w:r>
      <w:r>
        <w:rPr>
          <w:rFonts w:ascii="宋体" w:hAnsi="宋体" w:cs="Times New Roman"/>
          <w:b/>
          <w:sz w:val="48"/>
          <w:szCs w:val="48"/>
        </w:rPr>
        <w:t>明</w:t>
      </w:r>
    </w:p>
    <w:p w:rsidR="00D07ADF" w:rsidRDefault="00D07ADF">
      <w:pPr>
        <w:spacing w:line="360" w:lineRule="auto"/>
        <w:rPr>
          <w:rFonts w:ascii="Times New Roman" w:eastAsia="仿宋_GB2312" w:hAnsi="Times New Roman" w:cs="Times New Roman"/>
          <w:b/>
          <w:sz w:val="30"/>
        </w:rPr>
      </w:pPr>
    </w:p>
    <w:p w:rsidR="00D07ADF" w:rsidRDefault="00BA0849">
      <w:pPr>
        <w:tabs>
          <w:tab w:val="left" w:pos="1152"/>
        </w:tabs>
        <w:spacing w:line="580" w:lineRule="exact"/>
        <w:rPr>
          <w:rFonts w:ascii="Times New Roman" w:eastAsia="仿宋" w:hAnsi="Times New Roman" w:cs="Times New Roman"/>
          <w:color w:val="000000"/>
          <w:kern w:val="0"/>
          <w:sz w:val="32"/>
          <w:szCs w:val="32"/>
        </w:rPr>
      </w:pPr>
      <w:r>
        <w:rPr>
          <w:rFonts w:ascii="Times New Roman" w:eastAsia="仿宋" w:hAnsi="仿宋" w:cs="Times New Roman" w:hint="eastAsia"/>
          <w:color w:val="000000"/>
          <w:kern w:val="0"/>
          <w:sz w:val="32"/>
          <w:szCs w:val="32"/>
        </w:rPr>
        <w:t>一、申报</w:t>
      </w:r>
      <w:r>
        <w:rPr>
          <w:rFonts w:ascii="Times New Roman" w:eastAsia="仿宋" w:hAnsi="仿宋" w:cs="Times New Roman"/>
          <w:color w:val="000000"/>
          <w:kern w:val="0"/>
          <w:sz w:val="32"/>
          <w:szCs w:val="32"/>
        </w:rPr>
        <w:t>企业应当准确、如实填报。</w:t>
      </w:r>
    </w:p>
    <w:p w:rsidR="00D07ADF" w:rsidRDefault="00BA0849">
      <w:pPr>
        <w:tabs>
          <w:tab w:val="left" w:pos="1152"/>
        </w:tabs>
        <w:spacing w:line="580" w:lineRule="exact"/>
        <w:rPr>
          <w:rFonts w:ascii="Times New Roman" w:eastAsia="仿宋" w:hAnsi="Times New Roman" w:cs="Times New Roman"/>
          <w:color w:val="000000"/>
          <w:kern w:val="0"/>
          <w:sz w:val="32"/>
          <w:szCs w:val="32"/>
        </w:rPr>
      </w:pPr>
      <w:r>
        <w:rPr>
          <w:rFonts w:ascii="Times New Roman" w:eastAsia="仿宋" w:hAnsi="仿宋" w:cs="Times New Roman"/>
          <w:color w:val="000000"/>
          <w:kern w:val="0"/>
          <w:sz w:val="32"/>
          <w:szCs w:val="32"/>
        </w:rPr>
        <w:t>二、所属行业请依据</w:t>
      </w:r>
      <w:r>
        <w:rPr>
          <w:rFonts w:ascii="Times New Roman" w:eastAsia="仿宋" w:hAnsi="Times New Roman" w:cs="Times New Roman"/>
          <w:color w:val="000000"/>
          <w:kern w:val="0"/>
          <w:sz w:val="32"/>
          <w:szCs w:val="32"/>
        </w:rPr>
        <w:t>GB/T 4754-2017</w:t>
      </w:r>
      <w:r>
        <w:rPr>
          <w:rFonts w:ascii="Times New Roman" w:eastAsia="仿宋" w:hAnsi="仿宋" w:cs="Times New Roman"/>
          <w:color w:val="000000"/>
          <w:kern w:val="0"/>
          <w:sz w:val="32"/>
          <w:szCs w:val="32"/>
        </w:rPr>
        <w:t>《国民经济行业分类》填写；单位性质依据营业执照中的类型填写。</w:t>
      </w:r>
    </w:p>
    <w:p w:rsidR="00D07ADF" w:rsidRDefault="00BA0849">
      <w:pPr>
        <w:tabs>
          <w:tab w:val="left" w:pos="1152"/>
        </w:tabs>
        <w:spacing w:line="580" w:lineRule="exact"/>
        <w:rPr>
          <w:rFonts w:ascii="Times New Roman" w:eastAsia="仿宋" w:hAnsi="Times New Roman" w:cs="Times New Roman"/>
          <w:color w:val="000000"/>
          <w:kern w:val="0"/>
          <w:sz w:val="32"/>
          <w:szCs w:val="32"/>
        </w:rPr>
      </w:pPr>
      <w:r>
        <w:rPr>
          <w:rFonts w:ascii="Times New Roman" w:eastAsia="仿宋" w:hAnsi="仿宋" w:cs="Times New Roman"/>
          <w:color w:val="000000"/>
          <w:kern w:val="0"/>
          <w:sz w:val="32"/>
          <w:szCs w:val="32"/>
        </w:rPr>
        <w:t>三、有关项目页面不够时，可加附页。</w:t>
      </w:r>
    </w:p>
    <w:p w:rsidR="00D07ADF" w:rsidRDefault="00BA0849">
      <w:pPr>
        <w:tabs>
          <w:tab w:val="left" w:pos="1152"/>
        </w:tabs>
        <w:spacing w:line="580" w:lineRule="exact"/>
        <w:rPr>
          <w:rFonts w:ascii="Times New Roman" w:eastAsia="仿宋" w:hAnsi="Times New Roman" w:cs="Times New Roman"/>
          <w:color w:val="000000"/>
          <w:kern w:val="0"/>
          <w:sz w:val="32"/>
          <w:szCs w:val="32"/>
        </w:rPr>
      </w:pPr>
      <w:r>
        <w:rPr>
          <w:rFonts w:ascii="Times New Roman" w:eastAsia="仿宋" w:hAnsi="仿宋" w:cs="Times New Roman"/>
          <w:color w:val="000000"/>
          <w:kern w:val="0"/>
          <w:sz w:val="32"/>
          <w:szCs w:val="32"/>
        </w:rPr>
        <w:t>四、自评价报告应按照规定格式填写，并使用</w:t>
      </w:r>
      <w:r>
        <w:rPr>
          <w:rFonts w:ascii="Times New Roman" w:eastAsia="仿宋" w:hAnsi="Times New Roman" w:cs="Times New Roman"/>
          <w:color w:val="000000"/>
          <w:kern w:val="0"/>
          <w:sz w:val="32"/>
          <w:szCs w:val="32"/>
        </w:rPr>
        <w:t>A4</w:t>
      </w:r>
      <w:r>
        <w:rPr>
          <w:rFonts w:ascii="Times New Roman" w:eastAsia="仿宋" w:hAnsi="仿宋" w:cs="Times New Roman"/>
          <w:color w:val="000000"/>
          <w:kern w:val="0"/>
          <w:sz w:val="32"/>
          <w:szCs w:val="32"/>
        </w:rPr>
        <w:t>纸打印装订</w:t>
      </w:r>
      <w:bookmarkStart w:id="1" w:name="_GoBack"/>
      <w:bookmarkEnd w:id="1"/>
      <w:r>
        <w:rPr>
          <w:rFonts w:ascii="Times New Roman" w:eastAsia="仿宋" w:hAnsi="仿宋" w:cs="Times New Roman"/>
          <w:color w:val="000000"/>
          <w:kern w:val="0"/>
          <w:sz w:val="32"/>
          <w:szCs w:val="32"/>
        </w:rPr>
        <w:t>。</w:t>
      </w:r>
    </w:p>
    <w:p w:rsidR="00D07ADF" w:rsidRDefault="00BA0849">
      <w:pPr>
        <w:jc w:val="center"/>
        <w:rPr>
          <w:rFonts w:ascii="Times New Roman" w:eastAsia="黑体" w:hAnsi="Times New Roman" w:cs="Times New Roman"/>
          <w:sz w:val="32"/>
          <w:szCs w:val="32"/>
        </w:rPr>
      </w:pPr>
      <w:r>
        <w:rPr>
          <w:rFonts w:ascii="Times New Roman" w:eastAsia="仿宋" w:hAnsi="Times New Roman" w:cs="Times New Roman"/>
          <w:sz w:val="32"/>
          <w:szCs w:val="32"/>
        </w:rPr>
        <w:br w:type="page"/>
      </w:r>
      <w:r>
        <w:rPr>
          <w:rFonts w:ascii="Times New Roman" w:eastAsia="黑体" w:hAnsi="Times New Roman" w:cs="Times New Roman"/>
          <w:sz w:val="32"/>
          <w:szCs w:val="32"/>
        </w:rPr>
        <w:lastRenderedPageBreak/>
        <w:t>基本信息表</w:t>
      </w:r>
    </w:p>
    <w:tbl>
      <w:tblPr>
        <w:tblW w:w="8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5"/>
        <w:gridCol w:w="3111"/>
        <w:gridCol w:w="1240"/>
        <w:gridCol w:w="2336"/>
      </w:tblGrid>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themeColor="text1"/>
                <w:kern w:val="0"/>
                <w:sz w:val="24"/>
              </w:rPr>
              <w:t>企业</w:t>
            </w:r>
            <w:r>
              <w:rPr>
                <w:rFonts w:ascii="Times New Roman" w:eastAsia="仿宋_GB2312" w:hAnsi="Times New Roman" w:cs="Times New Roman"/>
                <w:color w:val="000000" w:themeColor="text1"/>
                <w:kern w:val="0"/>
                <w:sz w:val="24"/>
              </w:rPr>
              <w:t>名称</w:t>
            </w:r>
          </w:p>
        </w:tc>
        <w:tc>
          <w:tcPr>
            <w:tcW w:w="6687" w:type="dxa"/>
            <w:gridSpan w:val="3"/>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所属行业</w:t>
            </w:r>
          </w:p>
        </w:tc>
        <w:tc>
          <w:tcPr>
            <w:tcW w:w="6687" w:type="dxa"/>
            <w:gridSpan w:val="3"/>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通讯</w:t>
            </w:r>
            <w:r>
              <w:rPr>
                <w:rFonts w:ascii="Times New Roman" w:eastAsia="仿宋_GB2312" w:hAnsi="Times New Roman" w:cs="Times New Roman"/>
                <w:color w:val="000000"/>
                <w:kern w:val="0"/>
                <w:sz w:val="24"/>
              </w:rPr>
              <w:t>地址</w:t>
            </w:r>
          </w:p>
        </w:tc>
        <w:tc>
          <w:tcPr>
            <w:tcW w:w="6687" w:type="dxa"/>
            <w:gridSpan w:val="3"/>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单位性质</w:t>
            </w:r>
          </w:p>
        </w:tc>
        <w:tc>
          <w:tcPr>
            <w:tcW w:w="6687" w:type="dxa"/>
            <w:gridSpan w:val="3"/>
            <w:tcBorders>
              <w:tl2br w:val="nil"/>
              <w:tr2bl w:val="nil"/>
            </w:tcBorders>
            <w:vAlign w:val="center"/>
          </w:tcPr>
          <w:p w:rsidR="00D07ADF" w:rsidRDefault="00BA0849">
            <w:pPr>
              <w:widowControl/>
              <w:rPr>
                <w:rFonts w:ascii="Times New Roman" w:eastAsia="仿宋_GB2312" w:hAnsi="Times New Roman" w:cs="Times New Roman"/>
                <w:color w:val="000000"/>
                <w:kern w:val="0"/>
                <w:sz w:val="24"/>
              </w:rPr>
            </w:pPr>
            <w:r>
              <w:rPr>
                <w:rFonts w:ascii="仿宋_GB2312" w:eastAsia="仿宋_GB2312" w:hAnsi="仿宋" w:cs="Times New Roman" w:hint="eastAsia"/>
                <w:color w:val="000000"/>
                <w:kern w:val="0"/>
                <w:sz w:val="24"/>
              </w:rPr>
              <w:t>内资（□国有□集体□民营）□中外合资□港澳台□外商独资</w:t>
            </w: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统一社会</w:t>
            </w:r>
          </w:p>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信用代码</w:t>
            </w:r>
          </w:p>
        </w:tc>
        <w:tc>
          <w:tcPr>
            <w:tcW w:w="3111" w:type="dxa"/>
            <w:tcBorders>
              <w:tl2br w:val="nil"/>
              <w:tr2bl w:val="nil"/>
            </w:tcBorders>
            <w:vAlign w:val="center"/>
          </w:tcPr>
          <w:p w:rsidR="00D07ADF" w:rsidRDefault="00D07ADF">
            <w:pPr>
              <w:widowControl/>
              <w:jc w:val="center"/>
              <w:rPr>
                <w:rFonts w:ascii="Times New Roman" w:eastAsia="仿宋_GB2312" w:hAnsi="Times New Roman" w:cs="Times New Roman"/>
                <w:color w:val="000000"/>
                <w:kern w:val="0"/>
                <w:sz w:val="24"/>
              </w:rPr>
            </w:pPr>
          </w:p>
        </w:tc>
        <w:tc>
          <w:tcPr>
            <w:tcW w:w="1240"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邮编</w:t>
            </w:r>
          </w:p>
        </w:tc>
        <w:tc>
          <w:tcPr>
            <w:tcW w:w="2336" w:type="dxa"/>
            <w:tcBorders>
              <w:tl2br w:val="nil"/>
              <w:tr2bl w:val="nil"/>
            </w:tcBorders>
            <w:vAlign w:val="center"/>
          </w:tcPr>
          <w:p w:rsidR="00D07ADF" w:rsidRDefault="00D07ADF">
            <w:pPr>
              <w:widowControl/>
              <w:jc w:val="center"/>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注册机关</w:t>
            </w:r>
          </w:p>
        </w:tc>
        <w:tc>
          <w:tcPr>
            <w:tcW w:w="3111" w:type="dxa"/>
            <w:tcBorders>
              <w:tl2br w:val="nil"/>
              <w:tr2bl w:val="nil"/>
            </w:tcBorders>
            <w:vAlign w:val="center"/>
          </w:tcPr>
          <w:p w:rsidR="00D07ADF" w:rsidRDefault="00D07ADF">
            <w:pPr>
              <w:jc w:val="left"/>
              <w:rPr>
                <w:rFonts w:ascii="Times New Roman" w:eastAsia="仿宋_GB2312" w:hAnsi="Times New Roman" w:cs="Times New Roman"/>
              </w:rPr>
            </w:pPr>
          </w:p>
        </w:tc>
        <w:tc>
          <w:tcPr>
            <w:tcW w:w="1240"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注册资本</w:t>
            </w:r>
          </w:p>
        </w:tc>
        <w:tc>
          <w:tcPr>
            <w:tcW w:w="2336"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成立日期</w:t>
            </w:r>
          </w:p>
        </w:tc>
        <w:tc>
          <w:tcPr>
            <w:tcW w:w="3111"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有效期</w:t>
            </w:r>
          </w:p>
        </w:tc>
        <w:tc>
          <w:tcPr>
            <w:tcW w:w="2336"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法定代表人</w:t>
            </w:r>
          </w:p>
        </w:tc>
        <w:tc>
          <w:tcPr>
            <w:tcW w:w="3111"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法人代表联系</w:t>
            </w:r>
            <w:r>
              <w:rPr>
                <w:rFonts w:ascii="Times New Roman" w:eastAsia="仿宋_GB2312" w:hAnsi="Times New Roman" w:cs="Times New Roman" w:hint="eastAsia"/>
                <w:color w:val="000000"/>
                <w:kern w:val="0"/>
                <w:sz w:val="24"/>
              </w:rPr>
              <w:t>电话</w:t>
            </w:r>
          </w:p>
        </w:tc>
        <w:tc>
          <w:tcPr>
            <w:tcW w:w="2336"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申报</w:t>
            </w:r>
            <w:r>
              <w:rPr>
                <w:rFonts w:ascii="Times New Roman" w:eastAsia="仿宋_GB2312" w:hAnsi="Times New Roman" w:cs="Times New Roman"/>
                <w:color w:val="000000"/>
                <w:kern w:val="0"/>
                <w:sz w:val="24"/>
              </w:rPr>
              <w:t>工作</w:t>
            </w:r>
          </w:p>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联系部门</w:t>
            </w:r>
          </w:p>
        </w:tc>
        <w:tc>
          <w:tcPr>
            <w:tcW w:w="3111" w:type="dxa"/>
            <w:tcBorders>
              <w:tl2br w:val="nil"/>
              <w:tr2bl w:val="nil"/>
            </w:tcBorders>
            <w:vAlign w:val="center"/>
          </w:tcPr>
          <w:p w:rsidR="00D07ADF" w:rsidRDefault="00D07ADF">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联系人</w:t>
            </w:r>
          </w:p>
        </w:tc>
        <w:tc>
          <w:tcPr>
            <w:tcW w:w="2336"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联系电话</w:t>
            </w:r>
          </w:p>
        </w:tc>
        <w:tc>
          <w:tcPr>
            <w:tcW w:w="3111" w:type="dxa"/>
            <w:tcBorders>
              <w:tl2br w:val="nil"/>
              <w:tr2bl w:val="nil"/>
            </w:tcBorders>
            <w:vAlign w:val="center"/>
          </w:tcPr>
          <w:p w:rsidR="00D07ADF" w:rsidRDefault="00D07ADF">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传真</w:t>
            </w:r>
          </w:p>
        </w:tc>
        <w:tc>
          <w:tcPr>
            <w:tcW w:w="2336"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56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手机</w:t>
            </w:r>
          </w:p>
        </w:tc>
        <w:tc>
          <w:tcPr>
            <w:tcW w:w="3111" w:type="dxa"/>
            <w:tcBorders>
              <w:tl2br w:val="nil"/>
              <w:tr2bl w:val="nil"/>
            </w:tcBorders>
            <w:vAlign w:val="center"/>
          </w:tcPr>
          <w:p w:rsidR="00D07ADF" w:rsidRDefault="00D07ADF">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电子邮箱</w:t>
            </w:r>
          </w:p>
        </w:tc>
        <w:tc>
          <w:tcPr>
            <w:tcW w:w="2336" w:type="dxa"/>
            <w:tcBorders>
              <w:tl2br w:val="nil"/>
              <w:tr2bl w:val="nil"/>
            </w:tcBorders>
            <w:vAlign w:val="center"/>
          </w:tcPr>
          <w:p w:rsidR="00D07ADF" w:rsidRDefault="00D07ADF">
            <w:pPr>
              <w:widowControl/>
              <w:rPr>
                <w:rFonts w:ascii="Times New Roman" w:eastAsia="仿宋_GB2312" w:hAnsi="Times New Roman" w:cs="Times New Roman"/>
                <w:color w:val="000000"/>
                <w:kern w:val="0"/>
                <w:sz w:val="24"/>
              </w:rPr>
            </w:pPr>
          </w:p>
        </w:tc>
      </w:tr>
      <w:tr w:rsidR="00D07ADF">
        <w:trPr>
          <w:cantSplit/>
          <w:trHeight w:val="2377"/>
          <w:jc w:val="center"/>
        </w:trPr>
        <w:tc>
          <w:tcPr>
            <w:tcW w:w="1645" w:type="dxa"/>
            <w:tcBorders>
              <w:tl2br w:val="nil"/>
              <w:tr2bl w:val="nil"/>
            </w:tcBorders>
            <w:vAlign w:val="center"/>
          </w:tcPr>
          <w:p w:rsidR="00D07ADF" w:rsidRDefault="00BA0849">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themeColor="text1"/>
                <w:kern w:val="0"/>
                <w:sz w:val="24"/>
              </w:rPr>
              <w:t>企业</w:t>
            </w:r>
            <w:r>
              <w:rPr>
                <w:rFonts w:ascii="Times New Roman" w:eastAsia="仿宋_GB2312" w:hAnsi="Times New Roman" w:cs="Times New Roman"/>
                <w:color w:val="000000" w:themeColor="text1"/>
                <w:kern w:val="0"/>
                <w:sz w:val="24"/>
              </w:rPr>
              <w:t>简介</w:t>
            </w:r>
          </w:p>
        </w:tc>
        <w:tc>
          <w:tcPr>
            <w:tcW w:w="6687" w:type="dxa"/>
            <w:gridSpan w:val="3"/>
            <w:tcBorders>
              <w:tl2br w:val="nil"/>
              <w:tr2bl w:val="nil"/>
            </w:tcBorders>
            <w:vAlign w:val="center"/>
          </w:tcPr>
          <w:p w:rsidR="00D07ADF" w:rsidRDefault="00BA0849">
            <w:pPr>
              <w:widowControl/>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（至少应包含：企业的主营业务介绍、生产情况、所获荣誉情况</w:t>
            </w:r>
            <w:r>
              <w:rPr>
                <w:rFonts w:ascii="Times New Roman" w:eastAsia="仿宋_GB2312" w:hAnsi="Times New Roman" w:cs="Times New Roman" w:hint="eastAsia"/>
                <w:color w:val="000000"/>
                <w:kern w:val="0"/>
                <w:sz w:val="24"/>
              </w:rPr>
              <w:t>、行业地位</w:t>
            </w:r>
            <w:r>
              <w:rPr>
                <w:rFonts w:ascii="Times New Roman" w:eastAsia="仿宋_GB2312" w:hAnsi="Times New Roman" w:cs="Times New Roman"/>
                <w:color w:val="000000"/>
                <w:kern w:val="0"/>
                <w:sz w:val="24"/>
              </w:rPr>
              <w:t>等）</w:t>
            </w:r>
          </w:p>
          <w:p w:rsidR="00D07ADF" w:rsidRDefault="00D07ADF">
            <w:pPr>
              <w:widowControl/>
              <w:rPr>
                <w:rFonts w:ascii="Times New Roman" w:eastAsia="仿宋_GB2312" w:hAnsi="Times New Roman" w:cs="Times New Roman"/>
                <w:color w:val="000000"/>
                <w:kern w:val="0"/>
                <w:sz w:val="24"/>
              </w:rPr>
            </w:pPr>
          </w:p>
          <w:p w:rsidR="00D07ADF" w:rsidRDefault="00D07ADF">
            <w:pPr>
              <w:widowControl/>
              <w:rPr>
                <w:rFonts w:ascii="Times New Roman" w:eastAsia="仿宋_GB2312" w:hAnsi="Times New Roman" w:cs="Times New Roman"/>
                <w:color w:val="000000"/>
                <w:kern w:val="0"/>
                <w:sz w:val="24"/>
              </w:rPr>
            </w:pPr>
          </w:p>
          <w:p w:rsidR="00D07ADF" w:rsidRDefault="00D07ADF">
            <w:pPr>
              <w:widowControl/>
              <w:rPr>
                <w:rFonts w:ascii="Times New Roman" w:eastAsia="仿宋_GB2312" w:hAnsi="Times New Roman" w:cs="Times New Roman"/>
                <w:color w:val="000000"/>
                <w:kern w:val="0"/>
                <w:sz w:val="24"/>
              </w:rPr>
            </w:pPr>
          </w:p>
          <w:p w:rsidR="00D07ADF" w:rsidRDefault="00D07ADF">
            <w:pPr>
              <w:widowControl/>
              <w:rPr>
                <w:rFonts w:ascii="Times New Roman" w:eastAsia="仿宋_GB2312" w:hAnsi="Times New Roman" w:cs="Times New Roman"/>
                <w:color w:val="000000"/>
                <w:kern w:val="0"/>
                <w:sz w:val="24"/>
              </w:rPr>
            </w:pPr>
          </w:p>
          <w:p w:rsidR="00D07ADF" w:rsidRDefault="00D07ADF">
            <w:pPr>
              <w:widowControl/>
              <w:rPr>
                <w:rFonts w:ascii="Times New Roman" w:eastAsia="仿宋_GB2312" w:hAnsi="Times New Roman" w:cs="Times New Roman"/>
                <w:color w:val="000000"/>
                <w:kern w:val="0"/>
                <w:sz w:val="24"/>
              </w:rPr>
            </w:pPr>
          </w:p>
          <w:p w:rsidR="00D07ADF" w:rsidRDefault="00D07ADF">
            <w:pPr>
              <w:widowControl/>
              <w:rPr>
                <w:rFonts w:ascii="Times New Roman" w:eastAsia="仿宋_GB2312" w:hAnsi="Times New Roman" w:cs="Times New Roman"/>
                <w:color w:val="000000"/>
                <w:kern w:val="0"/>
                <w:sz w:val="24"/>
              </w:rPr>
            </w:pPr>
          </w:p>
          <w:p w:rsidR="00D07ADF" w:rsidRDefault="00D07ADF">
            <w:pPr>
              <w:widowControl/>
              <w:rPr>
                <w:rFonts w:ascii="Times New Roman" w:eastAsia="仿宋_GB2312" w:hAnsi="Times New Roman" w:cs="Times New Roman"/>
                <w:color w:val="000000"/>
                <w:kern w:val="0"/>
                <w:sz w:val="24"/>
              </w:rPr>
            </w:pPr>
          </w:p>
          <w:p w:rsidR="00D07ADF" w:rsidRDefault="00D07ADF">
            <w:pPr>
              <w:widowControl/>
              <w:rPr>
                <w:rFonts w:ascii="Times New Roman" w:eastAsia="仿宋_GB2312" w:hAnsi="Times New Roman" w:cs="Times New Roman"/>
                <w:color w:val="000000"/>
                <w:kern w:val="0"/>
                <w:sz w:val="24"/>
              </w:rPr>
            </w:pPr>
          </w:p>
        </w:tc>
      </w:tr>
      <w:tr w:rsidR="00D07ADF">
        <w:trPr>
          <w:cantSplit/>
          <w:trHeight w:val="2400"/>
          <w:jc w:val="center"/>
        </w:trPr>
        <w:tc>
          <w:tcPr>
            <w:tcW w:w="8332" w:type="dxa"/>
            <w:gridSpan w:val="4"/>
            <w:tcBorders>
              <w:tl2br w:val="nil"/>
              <w:tr2bl w:val="nil"/>
            </w:tcBorders>
            <w:vAlign w:val="center"/>
          </w:tcPr>
          <w:p w:rsidR="00D07ADF" w:rsidRDefault="00BA0849">
            <w:pPr>
              <w:widowControl/>
              <w:rPr>
                <w:rFonts w:ascii="Times New Roman" w:eastAsia="仿宋_GB2312" w:hAnsi="Times New Roman" w:cs="Times New Roman"/>
                <w:b/>
                <w:kern w:val="0"/>
                <w:sz w:val="24"/>
              </w:rPr>
            </w:pPr>
            <w:r>
              <w:rPr>
                <w:rFonts w:ascii="Times New Roman" w:eastAsia="仿宋_GB2312" w:hAnsi="Times New Roman" w:cs="Times New Roman"/>
                <w:b/>
                <w:kern w:val="0"/>
                <w:sz w:val="24"/>
              </w:rPr>
              <w:t>材料真实性承诺</w:t>
            </w:r>
            <w:r>
              <w:rPr>
                <w:rFonts w:ascii="Times New Roman" w:eastAsia="仿宋_GB2312" w:hAnsi="Times New Roman" w:cs="Times New Roman"/>
                <w:b/>
                <w:kern w:val="0"/>
                <w:sz w:val="24"/>
              </w:rPr>
              <w:t>:</w:t>
            </w:r>
          </w:p>
          <w:p w:rsidR="00D07ADF" w:rsidRDefault="00D07ADF" w:rsidP="00BA0849">
            <w:pPr>
              <w:widowControl/>
              <w:ind w:firstLineChars="207" w:firstLine="497"/>
              <w:rPr>
                <w:rFonts w:ascii="Times New Roman" w:eastAsia="仿宋_GB2312" w:hAnsi="Times New Roman" w:cs="Times New Roman"/>
                <w:kern w:val="0"/>
                <w:sz w:val="24"/>
              </w:rPr>
            </w:pPr>
          </w:p>
          <w:p w:rsidR="00D07ADF" w:rsidRDefault="00BA0849" w:rsidP="00BA0849">
            <w:pPr>
              <w:widowControl/>
              <w:ind w:firstLineChars="207" w:firstLine="497"/>
              <w:rPr>
                <w:rFonts w:ascii="Times New Roman" w:eastAsia="仿宋_GB2312" w:hAnsi="Times New Roman" w:cs="Times New Roman"/>
                <w:kern w:val="0"/>
                <w:sz w:val="24"/>
              </w:rPr>
              <w:pPrChange w:id="2" w:author="微软用户" w:date="2022-04-18T10:03:00Z">
                <w:pPr>
                  <w:widowControl/>
                  <w:ind w:firstLineChars="207" w:firstLine="496"/>
                </w:pPr>
              </w:pPrChange>
            </w:pPr>
            <w:r>
              <w:rPr>
                <w:rFonts w:ascii="Times New Roman" w:eastAsia="仿宋_GB2312" w:hAnsi="Times New Roman" w:cs="Times New Roman"/>
                <w:kern w:val="0"/>
                <w:sz w:val="24"/>
              </w:rPr>
              <w:t>我单位郑重承诺：本次</w:t>
            </w:r>
            <w:r>
              <w:rPr>
                <w:rFonts w:ascii="Times New Roman" w:eastAsia="仿宋_GB2312" w:hAnsi="Times New Roman" w:cs="Times New Roman" w:hint="eastAsia"/>
                <w:kern w:val="0"/>
                <w:sz w:val="24"/>
              </w:rPr>
              <w:t>申报</w:t>
            </w:r>
            <w:r>
              <w:rPr>
                <w:rFonts w:ascii="Times New Roman" w:eastAsia="仿宋_GB2312" w:hAnsi="Times New Roman" w:cs="Times New Roman"/>
                <w:kern w:val="0"/>
                <w:sz w:val="24"/>
              </w:rPr>
              <w:t>绿色工厂</w:t>
            </w:r>
            <w:r>
              <w:rPr>
                <w:rFonts w:ascii="Times New Roman" w:eastAsia="仿宋_GB2312" w:hAnsi="Times New Roman" w:cs="Times New Roman" w:hint="eastAsia"/>
                <w:kern w:val="0"/>
                <w:sz w:val="24"/>
              </w:rPr>
              <w:t>示范</w:t>
            </w:r>
            <w:r>
              <w:rPr>
                <w:rFonts w:ascii="Times New Roman" w:eastAsia="仿宋_GB2312" w:hAnsi="Times New Roman" w:cs="Times New Roman"/>
                <w:kern w:val="0"/>
                <w:sz w:val="24"/>
              </w:rPr>
              <w:t>所提交的相关数据和信息均真实、有效，愿接受并积极配合主管部门的监督抽查和核验。如有违反，愿承担由此产生的相应责任。</w:t>
            </w:r>
          </w:p>
          <w:p w:rsidR="00D07ADF" w:rsidRDefault="00D07ADF" w:rsidP="00BA0849">
            <w:pPr>
              <w:widowControl/>
              <w:ind w:firstLineChars="207" w:firstLine="497"/>
              <w:rPr>
                <w:rFonts w:ascii="Times New Roman" w:eastAsia="仿宋_GB2312" w:hAnsi="Times New Roman" w:cs="Times New Roman"/>
                <w:kern w:val="0"/>
                <w:sz w:val="24"/>
              </w:rPr>
              <w:pPrChange w:id="3" w:author="微软用户" w:date="2022-04-18T10:03:00Z">
                <w:pPr>
                  <w:widowControl/>
                  <w:ind w:firstLineChars="207" w:firstLine="497"/>
                </w:pPr>
              </w:pPrChange>
            </w:pPr>
          </w:p>
          <w:p w:rsidR="00D07ADF" w:rsidRDefault="00BA0849">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法人或单位负责人签字：</w:t>
            </w:r>
            <w:r>
              <w:rPr>
                <w:rFonts w:ascii="Times New Roman" w:eastAsia="仿宋_GB2312" w:hAnsi="Times New Roman" w:cs="Times New Roman"/>
                <w:b/>
                <w:kern w:val="0"/>
                <w:sz w:val="24"/>
              </w:rPr>
              <w:t xml:space="preserve">          </w:t>
            </w:r>
          </w:p>
          <w:p w:rsidR="00D07ADF" w:rsidRDefault="00BA0849">
            <w:pPr>
              <w:widowControl/>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w:t>
            </w:r>
            <w:r>
              <w:rPr>
                <w:rFonts w:ascii="Times New Roman" w:eastAsia="仿宋_GB2312" w:hAnsi="Times New Roman" w:cs="Times New Roman" w:hint="eastAsia"/>
                <w:b/>
                <w:kern w:val="0"/>
                <w:sz w:val="24"/>
              </w:rPr>
              <w:t>公</w:t>
            </w:r>
            <w:r>
              <w:rPr>
                <w:rFonts w:ascii="Times New Roman" w:eastAsia="仿宋_GB2312" w:hAnsi="Times New Roman" w:cs="Times New Roman"/>
                <w:b/>
                <w:kern w:val="0"/>
                <w:sz w:val="24"/>
              </w:rPr>
              <w:t>章）</w:t>
            </w:r>
          </w:p>
          <w:p w:rsidR="00D07ADF" w:rsidRDefault="00BA0849">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日期：</w:t>
            </w:r>
            <w:r>
              <w:rPr>
                <w:rFonts w:ascii="Times New Roman" w:eastAsia="仿宋_GB2312" w:hAnsi="Times New Roman" w:cs="Times New Roman"/>
                <w:b/>
                <w:kern w:val="0"/>
                <w:sz w:val="24"/>
              </w:rPr>
              <w:t xml:space="preserve">           </w:t>
            </w:r>
          </w:p>
          <w:p w:rsidR="00D07ADF" w:rsidRDefault="00D07ADF">
            <w:pPr>
              <w:widowControl/>
              <w:wordWrap w:val="0"/>
              <w:jc w:val="center"/>
              <w:rPr>
                <w:rFonts w:ascii="Times New Roman" w:eastAsia="仿宋_GB2312" w:hAnsi="Times New Roman" w:cs="Times New Roman"/>
                <w:b/>
                <w:kern w:val="0"/>
                <w:sz w:val="24"/>
              </w:rPr>
            </w:pPr>
          </w:p>
          <w:p w:rsidR="00D07ADF" w:rsidRDefault="00BA0849">
            <w:pPr>
              <w:widowControl/>
              <w:jc w:val="right"/>
              <w:rPr>
                <w:rFonts w:ascii="Times New Roman" w:eastAsia="仿宋_GB2312" w:hAnsi="Times New Roman" w:cs="Times New Roman"/>
                <w:color w:val="000000"/>
                <w:kern w:val="0"/>
                <w:sz w:val="24"/>
              </w:rPr>
            </w:pPr>
            <w:r>
              <w:rPr>
                <w:rFonts w:ascii="Times New Roman" w:eastAsia="仿宋_GB2312" w:hAnsi="Times New Roman" w:cs="Times New Roman"/>
                <w:b/>
                <w:kern w:val="0"/>
                <w:sz w:val="24"/>
              </w:rPr>
              <w:t xml:space="preserve">         </w:t>
            </w:r>
          </w:p>
        </w:tc>
      </w:tr>
    </w:tbl>
    <w:p w:rsidR="00D07ADF" w:rsidRDefault="00BA0849">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w:t>
      </w:r>
      <w:r>
        <w:rPr>
          <w:rFonts w:ascii="Times New Roman" w:eastAsia="黑体" w:hAnsi="Times New Roman" w:cs="Times New Roman" w:hint="eastAsia"/>
          <w:bCs/>
          <w:sz w:val="32"/>
          <w:szCs w:val="32"/>
        </w:rPr>
        <w:t>企业</w:t>
      </w:r>
      <w:r>
        <w:rPr>
          <w:rFonts w:ascii="Times New Roman" w:eastAsia="黑体" w:hAnsi="Times New Roman" w:cs="Times New Roman"/>
          <w:bCs/>
          <w:sz w:val="32"/>
          <w:szCs w:val="32"/>
        </w:rPr>
        <w:t>基本情况</w:t>
      </w:r>
    </w:p>
    <w:p w:rsidR="00D07ADF" w:rsidRDefault="00BA0849">
      <w:pPr>
        <w:pStyle w:val="2"/>
        <w:widowControl/>
        <w:snapToGrid w:val="0"/>
        <w:spacing w:line="360" w:lineRule="auto"/>
        <w:ind w:firstLine="640"/>
        <w:rPr>
          <w:rFonts w:ascii="仿宋" w:eastAsia="仿宋" w:hAnsi="仿宋" w:cs="Times New Roman"/>
          <w:color w:val="000000"/>
          <w:kern w:val="0"/>
          <w:sz w:val="32"/>
          <w:szCs w:val="32"/>
        </w:rPr>
      </w:pPr>
      <w:r>
        <w:rPr>
          <w:rFonts w:ascii="仿宋" w:eastAsia="仿宋" w:hAnsi="仿宋" w:cs="Times New Roman"/>
          <w:color w:val="000000"/>
          <w:kern w:val="0"/>
          <w:sz w:val="32"/>
          <w:szCs w:val="32"/>
        </w:rPr>
        <w:t>概述企业的基本信息、发展现状、工艺产品和生产经营状况</w:t>
      </w:r>
      <w:r>
        <w:rPr>
          <w:rFonts w:ascii="仿宋" w:eastAsia="仿宋" w:hAnsi="仿宋" w:cs="Times New Roman" w:hint="eastAsia"/>
          <w:color w:val="000000"/>
          <w:kern w:val="0"/>
          <w:sz w:val="32"/>
          <w:szCs w:val="32"/>
        </w:rPr>
        <w:t>、行业地位</w:t>
      </w:r>
      <w:r>
        <w:rPr>
          <w:rFonts w:ascii="仿宋" w:eastAsia="仿宋" w:hAnsi="仿宋" w:cs="Times New Roman"/>
          <w:color w:val="000000"/>
          <w:kern w:val="0"/>
          <w:sz w:val="32"/>
          <w:szCs w:val="32"/>
        </w:rPr>
        <w:t>以及在绿色发展方面开展的重点工作及取得的成绩等。</w:t>
      </w:r>
    </w:p>
    <w:p w:rsidR="00D07ADF" w:rsidRDefault="00BA0849">
      <w:pPr>
        <w:pStyle w:val="a6"/>
        <w:numPr>
          <w:ilvl w:val="0"/>
          <w:numId w:val="1"/>
        </w:numPr>
        <w:snapToGrid w:val="0"/>
        <w:spacing w:line="360" w:lineRule="auto"/>
        <w:ind w:firstLineChars="0"/>
        <w:rPr>
          <w:rFonts w:ascii="Times New Roman" w:eastAsia="黑体" w:hAnsi="Times New Roman" w:cs="Times New Roman"/>
          <w:bCs/>
          <w:sz w:val="32"/>
          <w:szCs w:val="32"/>
        </w:rPr>
      </w:pPr>
      <w:r>
        <w:rPr>
          <w:rFonts w:ascii="Times New Roman" w:eastAsia="黑体" w:hAnsi="Times New Roman" w:cs="Times New Roman"/>
          <w:bCs/>
          <w:sz w:val="32"/>
          <w:szCs w:val="32"/>
        </w:rPr>
        <w:t>绿色工厂</w:t>
      </w:r>
      <w:r>
        <w:rPr>
          <w:rFonts w:ascii="Times New Roman" w:eastAsia="黑体" w:hAnsi="Times New Roman" w:cs="Times New Roman" w:hint="eastAsia"/>
          <w:bCs/>
          <w:sz w:val="32"/>
          <w:szCs w:val="32"/>
        </w:rPr>
        <w:t>建设</w:t>
      </w:r>
      <w:r>
        <w:rPr>
          <w:rFonts w:ascii="Times New Roman" w:eastAsia="黑体" w:hAnsi="Times New Roman" w:cs="Times New Roman"/>
          <w:bCs/>
          <w:sz w:val="32"/>
          <w:szCs w:val="32"/>
        </w:rPr>
        <w:t>情况</w:t>
      </w:r>
    </w:p>
    <w:p w:rsidR="00D07ADF" w:rsidRDefault="00BA0849">
      <w:pPr>
        <w:pStyle w:val="2"/>
        <w:widowControl/>
        <w:snapToGrid w:val="0"/>
        <w:spacing w:line="360" w:lineRule="auto"/>
        <w:ind w:firstLine="640"/>
        <w:rPr>
          <w:rFonts w:ascii="仿宋" w:eastAsia="仿宋" w:hAnsi="仿宋" w:cs="Times New Roman"/>
          <w:color w:val="000000"/>
          <w:kern w:val="0"/>
          <w:sz w:val="32"/>
          <w:szCs w:val="32"/>
        </w:rPr>
      </w:pPr>
      <w:r>
        <w:rPr>
          <w:rFonts w:ascii="仿宋" w:eastAsia="仿宋" w:hAnsi="仿宋" w:cs="Times New Roman"/>
          <w:color w:val="000000"/>
          <w:kern w:val="0"/>
          <w:sz w:val="32"/>
          <w:szCs w:val="32"/>
        </w:rPr>
        <w:t>对照</w:t>
      </w:r>
      <w:r>
        <w:rPr>
          <w:rFonts w:ascii="仿宋" w:eastAsia="仿宋" w:hAnsi="仿宋" w:cs="Times New Roman" w:hint="eastAsia"/>
          <w:color w:val="000000"/>
          <w:kern w:val="0"/>
          <w:sz w:val="32"/>
          <w:szCs w:val="32"/>
        </w:rPr>
        <w:t>《绿色工厂评价要求》</w:t>
      </w:r>
      <w:r>
        <w:rPr>
          <w:rFonts w:ascii="仿宋" w:eastAsia="仿宋" w:hAnsi="仿宋" w:cs="Times New Roman"/>
          <w:color w:val="000000"/>
          <w:kern w:val="0"/>
          <w:sz w:val="32"/>
          <w:szCs w:val="32"/>
        </w:rPr>
        <w:t>主要对</w:t>
      </w:r>
      <w:r>
        <w:rPr>
          <w:rFonts w:ascii="仿宋" w:eastAsia="仿宋" w:hAnsi="仿宋" w:cs="Times New Roman" w:hint="eastAsia"/>
          <w:color w:val="000000"/>
          <w:kern w:val="0"/>
          <w:sz w:val="32"/>
          <w:szCs w:val="32"/>
        </w:rPr>
        <w:t>企业</w:t>
      </w:r>
      <w:r>
        <w:rPr>
          <w:rFonts w:ascii="仿宋" w:eastAsia="仿宋" w:hAnsi="仿宋" w:cs="Times New Roman"/>
          <w:color w:val="000000"/>
          <w:kern w:val="0"/>
          <w:sz w:val="32"/>
          <w:szCs w:val="32"/>
        </w:rPr>
        <w:t>的基础设施、管理体系、能源资源投入、产品、环境排放</w:t>
      </w:r>
      <w:r>
        <w:rPr>
          <w:rFonts w:ascii="仿宋" w:eastAsia="仿宋" w:hAnsi="仿宋" w:cs="Times New Roman" w:hint="eastAsia"/>
          <w:color w:val="000000"/>
          <w:kern w:val="0"/>
          <w:sz w:val="32"/>
          <w:szCs w:val="32"/>
        </w:rPr>
        <w:t>、绩效</w:t>
      </w:r>
      <w:r>
        <w:rPr>
          <w:rFonts w:ascii="仿宋" w:eastAsia="仿宋" w:hAnsi="仿宋" w:cs="Times New Roman"/>
          <w:color w:val="000000"/>
          <w:kern w:val="0"/>
          <w:sz w:val="32"/>
          <w:szCs w:val="32"/>
        </w:rPr>
        <w:t>等内容进行情况描述。</w:t>
      </w:r>
      <w:r>
        <w:rPr>
          <w:rFonts w:ascii="仿宋" w:eastAsia="仿宋" w:hAnsi="仿宋" w:cs="Times New Roman"/>
          <w:color w:val="000000"/>
          <w:kern w:val="0"/>
          <w:sz w:val="32"/>
          <w:szCs w:val="32"/>
        </w:rPr>
        <w:t xml:space="preserve"> </w:t>
      </w:r>
    </w:p>
    <w:p w:rsidR="00D07ADF" w:rsidRDefault="00BA0849">
      <w:pPr>
        <w:pStyle w:val="2"/>
        <w:widowControl/>
        <w:snapToGrid w:val="0"/>
        <w:spacing w:line="360" w:lineRule="auto"/>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1.</w:t>
      </w:r>
      <w:r>
        <w:rPr>
          <w:rFonts w:ascii="Times New Roman" w:eastAsia="仿宋" w:hAnsi="仿宋" w:cs="Times New Roman"/>
          <w:color w:val="000000"/>
          <w:kern w:val="0"/>
          <w:sz w:val="32"/>
          <w:szCs w:val="32"/>
        </w:rPr>
        <w:t>基础设施情况。主要描述</w:t>
      </w:r>
      <w:r>
        <w:rPr>
          <w:rFonts w:ascii="Times New Roman" w:eastAsia="仿宋" w:hAnsi="仿宋" w:cs="Times New Roman" w:hint="eastAsia"/>
          <w:color w:val="000000"/>
          <w:kern w:val="0"/>
          <w:sz w:val="32"/>
          <w:szCs w:val="32"/>
        </w:rPr>
        <w:t>企业</w:t>
      </w:r>
      <w:r>
        <w:rPr>
          <w:rFonts w:ascii="Times New Roman" w:eastAsia="仿宋" w:hAnsi="仿宋" w:cs="Times New Roman"/>
          <w:color w:val="000000"/>
          <w:kern w:val="0"/>
          <w:sz w:val="32"/>
          <w:szCs w:val="32"/>
        </w:rPr>
        <w:t>的建筑、照明、设备设施（包括专用设备、通用设备、计量设备及污染物处理设备设施等）、管理制度（包括能源计量管理制度、设备设施管理制度）及执行情况，以及相关标准落实情况。</w:t>
      </w:r>
    </w:p>
    <w:p w:rsidR="00D07ADF" w:rsidRDefault="00BA0849">
      <w:pPr>
        <w:pStyle w:val="2"/>
        <w:widowControl/>
        <w:snapToGrid w:val="0"/>
        <w:spacing w:line="360" w:lineRule="auto"/>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2.</w:t>
      </w:r>
      <w:r>
        <w:rPr>
          <w:rFonts w:ascii="Times New Roman" w:eastAsia="仿宋" w:hAnsi="仿宋" w:cs="Times New Roman"/>
          <w:color w:val="000000"/>
          <w:kern w:val="0"/>
          <w:sz w:val="32"/>
          <w:szCs w:val="32"/>
        </w:rPr>
        <w:t>管理体系情况。主要描述</w:t>
      </w:r>
      <w:r>
        <w:rPr>
          <w:rFonts w:ascii="Times New Roman" w:eastAsia="仿宋" w:hAnsi="仿宋" w:cs="Times New Roman" w:hint="eastAsia"/>
          <w:color w:val="000000"/>
          <w:kern w:val="0"/>
          <w:sz w:val="32"/>
          <w:szCs w:val="32"/>
        </w:rPr>
        <w:t>企业</w:t>
      </w:r>
      <w:r>
        <w:rPr>
          <w:rFonts w:ascii="Times New Roman" w:eastAsia="仿宋" w:hAnsi="仿宋" w:cs="Times New Roman"/>
          <w:color w:val="000000"/>
          <w:kern w:val="0"/>
          <w:sz w:val="32"/>
          <w:szCs w:val="32"/>
        </w:rPr>
        <w:t>管理体系建设</w:t>
      </w:r>
      <w:r>
        <w:rPr>
          <w:rFonts w:ascii="Times New Roman" w:eastAsia="仿宋" w:hAnsi="仿宋" w:cs="Times New Roman" w:hint="eastAsia"/>
          <w:color w:val="000000"/>
          <w:kern w:val="0"/>
          <w:sz w:val="32"/>
          <w:szCs w:val="32"/>
        </w:rPr>
        <w:t>及运行</w:t>
      </w:r>
      <w:r>
        <w:rPr>
          <w:rFonts w:ascii="Times New Roman" w:eastAsia="仿宋" w:hAnsi="仿宋" w:cs="Times New Roman"/>
          <w:color w:val="000000"/>
          <w:kern w:val="0"/>
          <w:sz w:val="32"/>
          <w:szCs w:val="32"/>
        </w:rPr>
        <w:t>情况。</w:t>
      </w:r>
    </w:p>
    <w:p w:rsidR="00D07ADF" w:rsidRDefault="00BA0849">
      <w:pPr>
        <w:pStyle w:val="2"/>
        <w:widowControl/>
        <w:snapToGrid w:val="0"/>
        <w:spacing w:line="360" w:lineRule="auto"/>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3.</w:t>
      </w:r>
      <w:r>
        <w:rPr>
          <w:rFonts w:ascii="Times New Roman" w:eastAsia="仿宋" w:hAnsi="仿宋" w:cs="Times New Roman"/>
          <w:color w:val="000000"/>
          <w:kern w:val="0"/>
          <w:sz w:val="32"/>
          <w:szCs w:val="32"/>
        </w:rPr>
        <w:t>能源资源投入情况。主要描述能源投入、资源投入、采购等方面的现状，目前正在实施建设的节约能源资源投入的项目</w:t>
      </w:r>
      <w:r>
        <w:rPr>
          <w:rFonts w:ascii="Times New Roman" w:eastAsia="仿宋" w:hAnsi="仿宋" w:cs="Times New Roman" w:hint="eastAsia"/>
          <w:color w:val="000000"/>
          <w:kern w:val="0"/>
          <w:sz w:val="32"/>
          <w:szCs w:val="32"/>
        </w:rPr>
        <w:t>，以及采购制度及执行情况。</w:t>
      </w:r>
    </w:p>
    <w:p w:rsidR="00D07ADF" w:rsidRDefault="00BA0849">
      <w:pPr>
        <w:pStyle w:val="2"/>
        <w:widowControl/>
        <w:snapToGrid w:val="0"/>
        <w:spacing w:line="360" w:lineRule="auto"/>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4.</w:t>
      </w:r>
      <w:r>
        <w:rPr>
          <w:rFonts w:ascii="Times New Roman" w:eastAsia="仿宋" w:hAnsi="仿宋" w:cs="Times New Roman"/>
          <w:color w:val="000000"/>
          <w:kern w:val="0"/>
          <w:sz w:val="32"/>
          <w:szCs w:val="32"/>
        </w:rPr>
        <w:t>产品情况。主要描述产品的生态设计、产品生态设计制度及执行情况、有害物质使用、节能、减碳以及可回收利用等情况，以及相关标准落实情况。</w:t>
      </w:r>
    </w:p>
    <w:p w:rsidR="00D07ADF" w:rsidRDefault="00BA0849">
      <w:pPr>
        <w:pStyle w:val="2"/>
        <w:widowControl/>
        <w:snapToGrid w:val="0"/>
        <w:spacing w:line="360" w:lineRule="auto"/>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5.</w:t>
      </w:r>
      <w:r>
        <w:rPr>
          <w:rFonts w:ascii="Times New Roman" w:eastAsia="仿宋" w:hAnsi="仿宋" w:cs="Times New Roman"/>
          <w:color w:val="000000"/>
          <w:kern w:val="0"/>
          <w:sz w:val="32"/>
          <w:szCs w:val="32"/>
        </w:rPr>
        <w:t>环境排放情况。主要描述大气污染物、水体污染物、固体废弃物、噪声、温室气体的排放及管理现状，以及相关标准的落实情况。</w:t>
      </w:r>
    </w:p>
    <w:p w:rsidR="00D07ADF" w:rsidRDefault="00BA0849">
      <w:pPr>
        <w:pStyle w:val="2"/>
        <w:widowControl/>
        <w:snapToGrid w:val="0"/>
        <w:spacing w:line="360" w:lineRule="auto"/>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6.</w:t>
      </w:r>
      <w:r>
        <w:rPr>
          <w:rFonts w:ascii="Times New Roman" w:eastAsia="仿宋" w:hAnsi="仿宋" w:cs="Times New Roman" w:hint="eastAsia"/>
          <w:color w:val="000000"/>
          <w:kern w:val="0"/>
          <w:sz w:val="32"/>
          <w:szCs w:val="32"/>
        </w:rPr>
        <w:t>绩效情况。主要描述用地集约化、原料无害化、废物资源化、生产洁净化及能源低碳化等相关指标的内容，并附计算过程。</w:t>
      </w:r>
    </w:p>
    <w:p w:rsidR="00D07ADF" w:rsidRDefault="00BA0849">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三、下一步工作</w:t>
      </w:r>
    </w:p>
    <w:p w:rsidR="00D07ADF" w:rsidRDefault="00BA0849">
      <w:pPr>
        <w:pStyle w:val="2"/>
        <w:widowControl/>
        <w:snapToGrid w:val="0"/>
        <w:spacing w:line="360" w:lineRule="auto"/>
        <w:ind w:firstLine="640"/>
        <w:rPr>
          <w:rFonts w:ascii="仿宋" w:eastAsia="仿宋" w:hAnsi="仿宋" w:cs="Times New Roman"/>
          <w:bCs/>
          <w:sz w:val="32"/>
          <w:szCs w:val="32"/>
        </w:rPr>
      </w:pPr>
      <w:r>
        <w:rPr>
          <w:rFonts w:ascii="仿宋" w:eastAsia="仿宋" w:hAnsi="仿宋" w:cs="Times New Roman"/>
          <w:color w:val="000000"/>
          <w:kern w:val="0"/>
          <w:sz w:val="32"/>
          <w:szCs w:val="32"/>
        </w:rPr>
        <w:t>说明</w:t>
      </w:r>
      <w:r>
        <w:rPr>
          <w:rFonts w:ascii="仿宋" w:eastAsia="仿宋" w:hAnsi="仿宋" w:cs="Times New Roman" w:hint="eastAsia"/>
          <w:color w:val="000000"/>
          <w:kern w:val="0"/>
          <w:sz w:val="32"/>
          <w:szCs w:val="32"/>
        </w:rPr>
        <w:t>企业</w:t>
      </w:r>
      <w:r>
        <w:rPr>
          <w:rFonts w:ascii="仿宋" w:eastAsia="仿宋" w:hAnsi="仿宋" w:cs="Times New Roman"/>
          <w:color w:val="000000"/>
          <w:kern w:val="0"/>
          <w:sz w:val="32"/>
          <w:szCs w:val="32"/>
        </w:rPr>
        <w:t>在持续推进绿色工厂建设方面拟开展的重点工作，拟实施的重大项目情况。</w:t>
      </w:r>
    </w:p>
    <w:p w:rsidR="00D07ADF" w:rsidRDefault="00BA0849">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四、绿色工厂自评表</w:t>
      </w:r>
    </w:p>
    <w:p w:rsidR="00D07ADF" w:rsidRDefault="00BA0849">
      <w:pPr>
        <w:pStyle w:val="2"/>
        <w:widowControl/>
        <w:snapToGrid w:val="0"/>
        <w:spacing w:line="360" w:lineRule="auto"/>
        <w:ind w:firstLine="640"/>
        <w:rPr>
          <w:rFonts w:ascii="Times New Roman" w:eastAsia="仿宋" w:hAnsi="Times New Roman" w:cs="Times New Roman"/>
          <w:color w:val="000000"/>
          <w:kern w:val="0"/>
          <w:sz w:val="32"/>
          <w:szCs w:val="32"/>
        </w:rPr>
      </w:pPr>
      <w:r>
        <w:rPr>
          <w:rFonts w:ascii="Times New Roman" w:eastAsia="仿宋" w:hAnsi="仿宋" w:cs="Times New Roman"/>
          <w:color w:val="000000"/>
          <w:kern w:val="0"/>
          <w:sz w:val="32"/>
          <w:szCs w:val="32"/>
        </w:rPr>
        <w:t>依据企业情况和《绿色工厂评价要求》</w:t>
      </w:r>
      <w:r>
        <w:rPr>
          <w:rFonts w:ascii="Times New Roman" w:eastAsia="仿宋" w:hAnsi="仿宋" w:cs="Times New Roman"/>
          <w:color w:val="000000"/>
          <w:kern w:val="0"/>
          <w:sz w:val="32"/>
          <w:szCs w:val="32"/>
        </w:rPr>
        <w:t>进行自评，并填写附表</w:t>
      </w:r>
      <w:r>
        <w:rPr>
          <w:rFonts w:ascii="Times New Roman" w:eastAsia="仿宋" w:hAnsi="Times New Roman" w:cs="Times New Roman"/>
          <w:color w:val="000000"/>
          <w:kern w:val="0"/>
          <w:sz w:val="32"/>
          <w:szCs w:val="32"/>
        </w:rPr>
        <w:t>1.1</w:t>
      </w:r>
      <w:r>
        <w:rPr>
          <w:rFonts w:ascii="Times New Roman" w:eastAsia="仿宋" w:hAnsi="仿宋" w:cs="Times New Roman"/>
          <w:color w:val="000000"/>
          <w:kern w:val="0"/>
          <w:sz w:val="32"/>
          <w:szCs w:val="32"/>
        </w:rPr>
        <w:t>和附表</w:t>
      </w:r>
      <w:r>
        <w:rPr>
          <w:rFonts w:ascii="Times New Roman" w:eastAsia="仿宋" w:hAnsi="Times New Roman" w:cs="Times New Roman"/>
          <w:color w:val="000000"/>
          <w:kern w:val="0"/>
          <w:sz w:val="32"/>
          <w:szCs w:val="32"/>
        </w:rPr>
        <w:t>1.2</w:t>
      </w:r>
      <w:r>
        <w:rPr>
          <w:rFonts w:ascii="Times New Roman" w:eastAsia="仿宋" w:hAnsi="仿宋" w:cs="Times New Roman"/>
          <w:color w:val="000000"/>
          <w:kern w:val="0"/>
          <w:sz w:val="32"/>
          <w:szCs w:val="32"/>
        </w:rPr>
        <w:t>。</w:t>
      </w:r>
    </w:p>
    <w:p w:rsidR="00D07ADF" w:rsidRDefault="00BA0849">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五、相关证明材料</w:t>
      </w:r>
    </w:p>
    <w:p w:rsidR="00D07ADF" w:rsidRDefault="00BA0849">
      <w:pPr>
        <w:ind w:firstLineChars="200" w:firstLine="640"/>
        <w:rPr>
          <w:rFonts w:ascii="Times New Roman" w:eastAsia="仿宋" w:hAnsi="Times New Roman" w:cs="Times New Roman"/>
          <w:color w:val="000000"/>
          <w:sz w:val="32"/>
        </w:rPr>
      </w:pPr>
      <w:r>
        <w:rPr>
          <w:rFonts w:ascii="Times New Roman" w:eastAsia="仿宋" w:hAnsi="仿宋" w:cs="Times New Roman" w:hint="eastAsia"/>
          <w:color w:val="000000"/>
          <w:sz w:val="32"/>
        </w:rPr>
        <w:t>列出报告编写过程中所使用的相关参考文件（与附表</w:t>
      </w:r>
      <w:r>
        <w:rPr>
          <w:rFonts w:ascii="Times New Roman" w:eastAsia="仿宋" w:hAnsi="Times New Roman" w:cs="Times New Roman"/>
          <w:color w:val="000000"/>
          <w:sz w:val="32"/>
        </w:rPr>
        <w:t>1.1</w:t>
      </w:r>
      <w:r>
        <w:rPr>
          <w:rFonts w:ascii="Times New Roman" w:eastAsia="仿宋" w:hAnsi="仿宋" w:cs="Times New Roman" w:hint="eastAsia"/>
          <w:color w:val="000000"/>
          <w:sz w:val="32"/>
        </w:rPr>
        <w:t>及附表</w:t>
      </w:r>
      <w:r>
        <w:rPr>
          <w:rFonts w:ascii="Times New Roman" w:eastAsia="仿宋" w:hAnsi="Times New Roman" w:cs="Times New Roman"/>
          <w:color w:val="000000"/>
          <w:sz w:val="32"/>
        </w:rPr>
        <w:t>1.2</w:t>
      </w:r>
      <w:r>
        <w:rPr>
          <w:rFonts w:ascii="Times New Roman" w:eastAsia="仿宋" w:hAnsi="仿宋" w:cs="Times New Roman" w:hint="eastAsia"/>
          <w:color w:val="000000"/>
          <w:sz w:val="32"/>
        </w:rPr>
        <w:t>的证明材料索引一栏对应）。</w:t>
      </w:r>
    </w:p>
    <w:p w:rsidR="00D07ADF" w:rsidRDefault="00D07ADF">
      <w:pPr>
        <w:widowControl/>
        <w:rPr>
          <w:rFonts w:ascii="仿宋" w:eastAsia="仿宋" w:hAnsi="仿宋" w:cs="Times New Roman"/>
          <w:bCs/>
          <w:sz w:val="36"/>
          <w:szCs w:val="36"/>
        </w:rPr>
        <w:sectPr w:rsidR="00D07ADF">
          <w:pgSz w:w="11906" w:h="16838"/>
          <w:pgMar w:top="1440" w:right="1800" w:bottom="1440" w:left="1800" w:header="851" w:footer="992" w:gutter="0"/>
          <w:cols w:space="425"/>
          <w:docGrid w:type="lines" w:linePitch="312"/>
        </w:sectPr>
      </w:pPr>
    </w:p>
    <w:p w:rsidR="00D07ADF" w:rsidRDefault="00BA0849">
      <w:pPr>
        <w:widowControl/>
        <w:rPr>
          <w:rFonts w:ascii="Times New Roman" w:eastAsia="仿宋_GB2312" w:hAnsi="Times New Roman" w:cs="Times New Roman"/>
          <w:bCs/>
          <w:sz w:val="32"/>
          <w:szCs w:val="36"/>
        </w:rPr>
      </w:pPr>
      <w:r>
        <w:rPr>
          <w:rFonts w:ascii="Times New Roman" w:eastAsia="仿宋_GB2312" w:hAnsi="Times New Roman" w:cs="Times New Roman" w:hint="eastAsia"/>
          <w:bCs/>
          <w:sz w:val="32"/>
          <w:szCs w:val="36"/>
        </w:rPr>
        <w:t>附表</w:t>
      </w:r>
      <w:r>
        <w:rPr>
          <w:rFonts w:ascii="Times New Roman" w:eastAsia="仿宋_GB2312" w:hAnsi="Times New Roman" w:cs="Times New Roman"/>
          <w:bCs/>
          <w:sz w:val="32"/>
          <w:szCs w:val="36"/>
        </w:rPr>
        <w:t>1.1</w:t>
      </w:r>
    </w:p>
    <w:p w:rsidR="00D07ADF" w:rsidRDefault="00BA0849">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w:t>
      </w:r>
      <w:r>
        <w:rPr>
          <w:rFonts w:ascii="Times New Roman" w:eastAsia="黑体" w:hAnsi="Times New Roman" w:cs="Times New Roman" w:hint="eastAsia"/>
          <w:bCs/>
          <w:sz w:val="36"/>
          <w:szCs w:val="36"/>
        </w:rPr>
        <w:t>基本要求</w:t>
      </w:r>
      <w:r>
        <w:rPr>
          <w:rFonts w:ascii="Times New Roman" w:eastAsia="黑体" w:hAnsi="Times New Roman" w:cs="Times New Roman"/>
          <w:bCs/>
          <w:sz w:val="36"/>
          <w:szCs w:val="36"/>
        </w:rPr>
        <w:t>自评表</w:t>
      </w:r>
    </w:p>
    <w:p w:rsidR="00D07ADF" w:rsidRDefault="00D07ADF">
      <w:pPr>
        <w:widowControl/>
        <w:jc w:val="center"/>
        <w:rPr>
          <w:rFonts w:ascii="Times New Roman" w:eastAsia="黑体" w:hAnsi="Times New Roman" w:cs="Times New Roman"/>
          <w:bCs/>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2217"/>
        <w:gridCol w:w="2086"/>
      </w:tblGrid>
      <w:tr w:rsidR="00D07ADF">
        <w:trPr>
          <w:trHeight w:val="668"/>
          <w:tblHeader/>
        </w:trPr>
        <w:tc>
          <w:tcPr>
            <w:tcW w:w="4219" w:type="dxa"/>
            <w:vAlign w:val="center"/>
          </w:tcPr>
          <w:p w:rsidR="00D07ADF" w:rsidRDefault="00BA0849">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基本</w:t>
            </w:r>
            <w:r>
              <w:rPr>
                <w:rFonts w:ascii="Times New Roman" w:eastAsia="仿宋_GB2312" w:hAnsi="Times New Roman" w:cs="Times New Roman"/>
                <w:b/>
                <w:kern w:val="0"/>
                <w:sz w:val="28"/>
                <w:szCs w:val="28"/>
              </w:rPr>
              <w:t>要求</w:t>
            </w:r>
          </w:p>
        </w:tc>
        <w:tc>
          <w:tcPr>
            <w:tcW w:w="2217" w:type="dxa"/>
            <w:vAlign w:val="center"/>
          </w:tcPr>
          <w:p w:rsidR="00D07ADF" w:rsidRDefault="00BA0849">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是否符合</w:t>
            </w:r>
          </w:p>
        </w:tc>
        <w:tc>
          <w:tcPr>
            <w:tcW w:w="2086" w:type="dxa"/>
            <w:vAlign w:val="center"/>
          </w:tcPr>
          <w:p w:rsidR="00D07ADF" w:rsidRDefault="00BA0849">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证明材料索引</w:t>
            </w:r>
          </w:p>
        </w:tc>
      </w:tr>
      <w:tr w:rsidR="00D07ADF">
        <w:trPr>
          <w:trHeight w:val="989"/>
        </w:trPr>
        <w:tc>
          <w:tcPr>
            <w:tcW w:w="4219"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应依法设立，在建设和生产过程中应遵守有关法律、法规、政策和标准。</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r w:rsidR="00D07ADF">
        <w:trPr>
          <w:trHeight w:val="974"/>
        </w:trPr>
        <w:tc>
          <w:tcPr>
            <w:tcW w:w="4219" w:type="dxa"/>
            <w:vAlign w:val="center"/>
          </w:tcPr>
          <w:p w:rsidR="00D07ADF" w:rsidRDefault="00BA0849">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近三年（含成立不满三年）未发生较大及以上安全、环保、质量等事故。</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r w:rsidR="00D07ADF">
        <w:trPr>
          <w:trHeight w:val="985"/>
        </w:trPr>
        <w:tc>
          <w:tcPr>
            <w:tcW w:w="4219" w:type="dxa"/>
            <w:vAlign w:val="center"/>
          </w:tcPr>
          <w:p w:rsidR="00D07ADF" w:rsidRDefault="00BA0849">
            <w:pPr>
              <w:adjustRightInd w:val="0"/>
              <w:snapToGrid w:val="0"/>
              <w:jc w:val="left"/>
              <w:rPr>
                <w:rFonts w:ascii="Times New Roman" w:eastAsia="仿宋_GB2312" w:hAnsi="Times New Roman" w:cs="Times New Roman"/>
                <w:kern w:val="0"/>
                <w:sz w:val="24"/>
                <w:szCs w:val="24"/>
              </w:rPr>
            </w:pPr>
            <w:r>
              <w:rPr>
                <w:rFonts w:ascii="仿宋_GB2312" w:eastAsia="仿宋_GB2312" w:hAnsi="宋体" w:cs="宋体" w:hint="eastAsia"/>
                <w:kern w:val="0"/>
                <w:sz w:val="24"/>
              </w:rPr>
              <w:t>对利益相关方的环境要求做出承诺的，应同时满足有关承诺的要求。</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r w:rsidR="00D07ADF">
        <w:trPr>
          <w:trHeight w:val="1267"/>
        </w:trPr>
        <w:tc>
          <w:tcPr>
            <w:tcW w:w="4219" w:type="dxa"/>
            <w:vAlign w:val="center"/>
          </w:tcPr>
          <w:p w:rsidR="00D07ADF" w:rsidRDefault="00BA0849">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最高管理者在绿色工厂方面的领导作用和承诺满足</w:t>
            </w:r>
            <w:r>
              <w:rPr>
                <w:rFonts w:ascii="Times New Roman" w:eastAsia="仿宋_GB2312" w:hAnsi="Times New Roman" w:cs="Times New Roman"/>
                <w:kern w:val="0"/>
                <w:sz w:val="24"/>
              </w:rPr>
              <w:t xml:space="preserve">GB/T 36132 </w:t>
            </w:r>
            <w:r>
              <w:rPr>
                <w:rFonts w:ascii="Times New Roman" w:eastAsia="仿宋_GB2312" w:hAnsi="Times New Roman" w:cs="Times New Roman" w:hint="eastAsia"/>
                <w:kern w:val="0"/>
                <w:sz w:val="24"/>
              </w:rPr>
              <w:t>中</w:t>
            </w:r>
            <w:r>
              <w:rPr>
                <w:rFonts w:ascii="Times New Roman" w:eastAsia="仿宋_GB2312" w:hAnsi="Times New Roman" w:cs="Times New Roman"/>
                <w:kern w:val="0"/>
                <w:sz w:val="24"/>
              </w:rPr>
              <w:t>4.3.1 a)</w:t>
            </w:r>
            <w:r>
              <w:rPr>
                <w:rFonts w:ascii="Times New Roman" w:eastAsia="仿宋_GB2312" w:hAnsi="Times New Roman" w:cs="Times New Roman" w:hint="eastAsia"/>
                <w:kern w:val="0"/>
                <w:sz w:val="24"/>
              </w:rPr>
              <w:t>的要求。</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r w:rsidR="00D07ADF">
        <w:trPr>
          <w:trHeight w:val="1547"/>
        </w:trPr>
        <w:tc>
          <w:tcPr>
            <w:tcW w:w="4219" w:type="dxa"/>
            <w:vAlign w:val="center"/>
          </w:tcPr>
          <w:p w:rsidR="00D07ADF" w:rsidRDefault="00BA0849">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最高管理者应</w:t>
            </w:r>
            <w:r>
              <w:rPr>
                <w:rFonts w:ascii="Times New Roman" w:eastAsia="仿宋_GB2312" w:hAnsi="Times New Roman" w:cs="Times New Roman" w:hint="eastAsia"/>
                <w:kern w:val="0"/>
                <w:sz w:val="24"/>
              </w:rPr>
              <w:t>确保在企业内部分配并沟通与绿色工厂相关角色的职责和权限，且满足</w:t>
            </w:r>
            <w:r>
              <w:rPr>
                <w:rFonts w:ascii="Times New Roman" w:eastAsia="仿宋_GB2312" w:hAnsi="Times New Roman" w:cs="Times New Roman"/>
                <w:kern w:val="0"/>
                <w:sz w:val="24"/>
              </w:rPr>
              <w:t xml:space="preserve">GB/T 36132 </w:t>
            </w:r>
            <w:r>
              <w:rPr>
                <w:rFonts w:ascii="Times New Roman" w:eastAsia="仿宋_GB2312" w:hAnsi="Times New Roman" w:cs="Times New Roman" w:hint="eastAsia"/>
                <w:kern w:val="0"/>
                <w:sz w:val="24"/>
              </w:rPr>
              <w:t>中</w:t>
            </w:r>
            <w:r>
              <w:rPr>
                <w:rFonts w:ascii="Times New Roman" w:eastAsia="仿宋_GB2312" w:hAnsi="Times New Roman" w:cs="Times New Roman"/>
                <w:kern w:val="0"/>
                <w:sz w:val="24"/>
              </w:rPr>
              <w:t>4.3.1 b)</w:t>
            </w:r>
            <w:r>
              <w:rPr>
                <w:rFonts w:ascii="Times New Roman" w:eastAsia="仿宋_GB2312" w:hAnsi="Times New Roman" w:cs="Times New Roman" w:hint="eastAsia"/>
                <w:kern w:val="0"/>
                <w:sz w:val="24"/>
              </w:rPr>
              <w:t>的要求。</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r w:rsidR="00D07ADF">
        <w:trPr>
          <w:trHeight w:val="1271"/>
        </w:trPr>
        <w:tc>
          <w:tcPr>
            <w:tcW w:w="4219" w:type="dxa"/>
            <w:vAlign w:val="center"/>
          </w:tcPr>
          <w:p w:rsidR="00D07ADF" w:rsidRDefault="00BA0849">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企业应设有绿色工厂管理机构，负责有关绿色工厂的制度建设、实施、考核及奖励工作，建立目标责任制。</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r w:rsidR="00D07ADF">
        <w:trPr>
          <w:trHeight w:val="1261"/>
        </w:trPr>
        <w:tc>
          <w:tcPr>
            <w:tcW w:w="4219"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仿宋_GB2312" w:eastAsia="仿宋_GB2312" w:hAnsi="宋体" w:cs="宋体" w:hint="eastAsia"/>
                <w:kern w:val="0"/>
                <w:sz w:val="24"/>
              </w:rPr>
              <w:t>企业应有开展绿色工厂的中长期规划及年度目标、指标和实施方案。可行时，指标应明确且可量化。</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r w:rsidR="00D07ADF">
        <w:trPr>
          <w:trHeight w:val="1549"/>
        </w:trPr>
        <w:tc>
          <w:tcPr>
            <w:tcW w:w="4219"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企业应传播绿色制造的概念和知识，定期为员工提供绿色制造相关知识的教育、培训，并对教育和培训的结果进行考评。</w:t>
            </w:r>
          </w:p>
        </w:tc>
        <w:tc>
          <w:tcPr>
            <w:tcW w:w="2217" w:type="dxa"/>
            <w:vAlign w:val="center"/>
          </w:tcPr>
          <w:p w:rsidR="00D07ADF" w:rsidRDefault="00D07ADF">
            <w:pPr>
              <w:adjustRightInd w:val="0"/>
              <w:snapToGrid w:val="0"/>
              <w:rPr>
                <w:rFonts w:ascii="Times New Roman" w:eastAsia="仿宋_GB2312" w:hAnsi="Times New Roman" w:cs="Times New Roman"/>
                <w:kern w:val="0"/>
                <w:sz w:val="28"/>
                <w:szCs w:val="28"/>
              </w:rPr>
            </w:pPr>
          </w:p>
        </w:tc>
        <w:tc>
          <w:tcPr>
            <w:tcW w:w="2086" w:type="dxa"/>
            <w:vAlign w:val="center"/>
          </w:tcPr>
          <w:p w:rsidR="00D07ADF" w:rsidRDefault="00D07ADF">
            <w:pPr>
              <w:adjustRightInd w:val="0"/>
              <w:snapToGrid w:val="0"/>
              <w:rPr>
                <w:rFonts w:ascii="Times New Roman" w:eastAsia="仿宋_GB2312" w:hAnsi="Times New Roman" w:cs="Times New Roman"/>
                <w:kern w:val="0"/>
                <w:sz w:val="28"/>
                <w:szCs w:val="28"/>
              </w:rPr>
            </w:pPr>
          </w:p>
        </w:tc>
      </w:tr>
    </w:tbl>
    <w:p w:rsidR="00D07ADF" w:rsidRDefault="00D07ADF">
      <w:pPr>
        <w:spacing w:line="360" w:lineRule="auto"/>
        <w:rPr>
          <w:rFonts w:ascii="Times New Roman" w:eastAsia="黑体" w:hAnsi="Times New Roman" w:cs="Times New Roman"/>
          <w:bCs/>
          <w:sz w:val="36"/>
          <w:szCs w:val="36"/>
        </w:rPr>
        <w:sectPr w:rsidR="00D07ADF">
          <w:pgSz w:w="11906" w:h="16838"/>
          <w:pgMar w:top="1440" w:right="1800" w:bottom="1440" w:left="1800" w:header="851" w:footer="992" w:gutter="0"/>
          <w:cols w:space="425"/>
          <w:docGrid w:type="lines" w:linePitch="312"/>
        </w:sectPr>
      </w:pPr>
    </w:p>
    <w:p w:rsidR="00D07ADF" w:rsidRDefault="00BA0849">
      <w:pPr>
        <w:widowControl/>
        <w:rPr>
          <w:rFonts w:ascii="Times New Roman" w:eastAsia="仿宋_GB2312" w:hAnsi="Times New Roman" w:cs="Times New Roman"/>
          <w:bCs/>
          <w:sz w:val="32"/>
          <w:szCs w:val="36"/>
        </w:rPr>
      </w:pPr>
      <w:r>
        <w:rPr>
          <w:rFonts w:ascii="Times New Roman" w:eastAsia="仿宋_GB2312" w:hAnsi="Times New Roman" w:cs="Times New Roman" w:hint="eastAsia"/>
          <w:bCs/>
          <w:sz w:val="32"/>
          <w:szCs w:val="36"/>
        </w:rPr>
        <w:t>附表</w:t>
      </w:r>
      <w:r>
        <w:rPr>
          <w:rFonts w:ascii="Times New Roman" w:eastAsia="仿宋_GB2312" w:hAnsi="Times New Roman" w:cs="Times New Roman"/>
          <w:bCs/>
          <w:sz w:val="32"/>
          <w:szCs w:val="36"/>
        </w:rPr>
        <w:t>1.2</w:t>
      </w:r>
    </w:p>
    <w:p w:rsidR="00D07ADF" w:rsidRDefault="00BA0849">
      <w:pPr>
        <w:spacing w:line="360" w:lineRule="auto"/>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绿色工厂评价指标自评表</w:t>
      </w:r>
    </w:p>
    <w:p w:rsidR="00D07ADF" w:rsidRDefault="00BA0849">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949"/>
        <w:gridCol w:w="3322"/>
        <w:gridCol w:w="3311"/>
        <w:gridCol w:w="2410"/>
        <w:gridCol w:w="1015"/>
        <w:gridCol w:w="851"/>
        <w:gridCol w:w="887"/>
      </w:tblGrid>
      <w:tr w:rsidR="00D07ADF">
        <w:trPr>
          <w:tblHeader/>
          <w:jc w:val="center"/>
        </w:trPr>
        <w:tc>
          <w:tcPr>
            <w:tcW w:w="1203" w:type="dxa"/>
            <w:vAlign w:val="center"/>
          </w:tcPr>
          <w:p w:rsidR="00D07ADF" w:rsidRDefault="00BA0849">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一级指标</w:t>
            </w:r>
          </w:p>
        </w:tc>
        <w:tc>
          <w:tcPr>
            <w:tcW w:w="4271" w:type="dxa"/>
            <w:gridSpan w:val="2"/>
            <w:vAlign w:val="center"/>
          </w:tcPr>
          <w:p w:rsidR="00D07ADF" w:rsidRDefault="00BA0849">
            <w:pPr>
              <w:adjustRightInd w:val="0"/>
              <w:snapToGrid w:val="0"/>
              <w:ind w:firstLine="562"/>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二级指标具体要求</w:t>
            </w:r>
          </w:p>
        </w:tc>
        <w:tc>
          <w:tcPr>
            <w:tcW w:w="3311" w:type="dxa"/>
            <w:vAlign w:val="center"/>
          </w:tcPr>
          <w:p w:rsidR="00D07ADF" w:rsidRDefault="00BA0849">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指标值及是否符合评价要求</w:t>
            </w:r>
          </w:p>
        </w:tc>
        <w:tc>
          <w:tcPr>
            <w:tcW w:w="2410" w:type="dxa"/>
            <w:vAlign w:val="center"/>
          </w:tcPr>
          <w:p w:rsidR="00D07ADF" w:rsidRDefault="00BA0849">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证明材料索引</w:t>
            </w:r>
          </w:p>
        </w:tc>
        <w:tc>
          <w:tcPr>
            <w:tcW w:w="1015" w:type="dxa"/>
            <w:vAlign w:val="center"/>
          </w:tcPr>
          <w:p w:rsidR="00D07ADF" w:rsidRDefault="00BA0849">
            <w:pPr>
              <w:jc w:val="center"/>
              <w:rPr>
                <w:rFonts w:ascii="Times New Roman" w:eastAsia="仿宋_GB2312" w:hAnsi="Times New Roman" w:cs="Times New Roman"/>
                <w:b/>
                <w:bCs/>
                <w:sz w:val="24"/>
                <w:szCs w:val="24"/>
              </w:rPr>
            </w:pPr>
            <w:r>
              <w:rPr>
                <w:rFonts w:ascii="Times New Roman" w:eastAsia="仿宋_GB2312" w:hAnsi="仿宋_GB2312" w:cs="Times New Roman" w:hint="eastAsia"/>
                <w:b/>
                <w:bCs/>
                <w:sz w:val="24"/>
                <w:szCs w:val="24"/>
              </w:rPr>
              <w:t>分值</w:t>
            </w:r>
          </w:p>
        </w:tc>
        <w:tc>
          <w:tcPr>
            <w:tcW w:w="851" w:type="dxa"/>
            <w:vAlign w:val="center"/>
          </w:tcPr>
          <w:p w:rsidR="00D07ADF" w:rsidRDefault="00BA0849">
            <w:pPr>
              <w:jc w:val="center"/>
              <w:rPr>
                <w:rFonts w:ascii="Times New Roman" w:eastAsia="仿宋_GB2312" w:hAnsi="Times New Roman" w:cs="Times New Roman"/>
                <w:b/>
                <w:bCs/>
                <w:sz w:val="24"/>
                <w:szCs w:val="24"/>
              </w:rPr>
            </w:pPr>
            <w:r>
              <w:rPr>
                <w:rFonts w:ascii="Times New Roman" w:eastAsia="仿宋_GB2312" w:hAnsi="仿宋_GB2312" w:cs="Times New Roman" w:hint="eastAsia"/>
                <w:b/>
                <w:bCs/>
                <w:sz w:val="24"/>
                <w:szCs w:val="24"/>
              </w:rPr>
              <w:t>权重</w:t>
            </w:r>
          </w:p>
        </w:tc>
        <w:tc>
          <w:tcPr>
            <w:tcW w:w="887" w:type="dxa"/>
            <w:vAlign w:val="center"/>
          </w:tcPr>
          <w:p w:rsidR="00D07ADF" w:rsidRDefault="00BA0849">
            <w:pPr>
              <w:jc w:val="center"/>
              <w:rPr>
                <w:rFonts w:ascii="Times New Roman" w:eastAsia="仿宋_GB2312" w:hAnsi="Times New Roman" w:cs="Times New Roman"/>
                <w:b/>
                <w:bCs/>
                <w:sz w:val="24"/>
                <w:szCs w:val="24"/>
              </w:rPr>
            </w:pPr>
            <w:r>
              <w:rPr>
                <w:rFonts w:ascii="Times New Roman" w:eastAsia="仿宋_GB2312" w:hAnsi="仿宋_GB2312" w:cs="Times New Roman" w:hint="eastAsia"/>
                <w:b/>
                <w:bCs/>
                <w:sz w:val="24"/>
                <w:szCs w:val="24"/>
              </w:rPr>
              <w:t>得分</w:t>
            </w:r>
          </w:p>
        </w:tc>
      </w:tr>
      <w:tr w:rsidR="00D07ADF">
        <w:trPr>
          <w:jc w:val="center"/>
        </w:trPr>
        <w:tc>
          <w:tcPr>
            <w:tcW w:w="1203"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基础</w:t>
            </w:r>
          </w:p>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设施</w:t>
            </w: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企业的建筑应满足国家或地方相关法律法规及标准的要求。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8</w:t>
            </w:r>
          </w:p>
        </w:tc>
        <w:tc>
          <w:tcPr>
            <w:tcW w:w="851"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w:t>
            </w: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新建、改建和扩建建筑时，应遵守国家“固定资产投资项目节能评估审查制度”、“三同时制度”、“工业项目建设用地控制指标”等产业政策和有关要求。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厂房内部装饰装修材料中醛、苯、氨、氡等有害物质必须符合国家和地方法律、标准要求。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危险品仓库、有毒有害操作间、废弃物处理间等产生污染物的房间应独立设置。安全环保制度健全并执行良好。</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人工照明应符合</w:t>
            </w:r>
            <w:r>
              <w:rPr>
                <w:rFonts w:ascii="Times New Roman" w:eastAsia="仿宋_GB2312" w:hAnsi="Times New Roman" w:cs="Times New Roman"/>
                <w:kern w:val="0"/>
                <w:sz w:val="24"/>
                <w:szCs w:val="24"/>
              </w:rPr>
              <w:t>GB 50034</w:t>
            </w:r>
            <w:r>
              <w:rPr>
                <w:rFonts w:ascii="Times New Roman" w:eastAsia="仿宋_GB2312" w:hAnsi="Times New Roman" w:cs="Times New Roman" w:hint="eastAsia"/>
                <w:kern w:val="0"/>
                <w:sz w:val="24"/>
                <w:szCs w:val="24"/>
              </w:rPr>
              <w:t>规定。</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7</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不同场所的照明应进行分级设计。</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企业使用的专用设备应符合产业准入要求，降低能源与资源消耗，减少污染物排放。</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适用时，企业使用的通用设备应达到相关标准中能效限定值的强制性要求。已明令禁止生产、使用的和能耗高、效率低的设备应限期淘汰更新。设备设施管理制度</w:t>
            </w:r>
            <w:r>
              <w:rPr>
                <w:rFonts w:ascii="Times New Roman" w:eastAsia="仿宋_GB2312" w:hAnsi="Times New Roman" w:cs="Times New Roman" w:hint="eastAsia"/>
                <w:sz w:val="24"/>
                <w:szCs w:val="24"/>
              </w:rPr>
              <w:t>健全并执行良好</w:t>
            </w:r>
            <w:r>
              <w:rPr>
                <w:rFonts w:ascii="Times New Roman" w:eastAsia="仿宋_GB2312" w:hAnsi="Times New Roman" w:cs="Times New Roman" w:hint="eastAsia"/>
                <w:kern w:val="0"/>
                <w:sz w:val="24"/>
                <w:szCs w:val="24"/>
              </w:rPr>
              <w:t>。</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企业使用的通用设备或其系统的实际运行效率或主要运行参数应符合该设备经济运行的要求。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pStyle w:val="3"/>
              <w:autoSpaceDE w:val="0"/>
              <w:autoSpaceDN w:val="0"/>
              <w:adjustRightInd w:val="0"/>
              <w:spacing w:before="0" w:beforeAutospacing="0" w:after="0" w:afterAutospacing="0"/>
              <w:jc w:val="both"/>
              <w:rPr>
                <w:rFonts w:ascii="Times New Roman" w:eastAsia="仿宋_GB2312" w:hAnsi="Times New Roman" w:cs="Times New Roman"/>
                <w:szCs w:val="24"/>
              </w:rPr>
            </w:pPr>
            <w:r>
              <w:rPr>
                <w:rFonts w:ascii="Times New Roman" w:eastAsia="仿宋_GB2312" w:hAnsi="Times New Roman" w:cs="Times New Roman" w:hint="eastAsia"/>
              </w:rPr>
              <w:t>企业应依据</w:t>
            </w:r>
            <w:r>
              <w:rPr>
                <w:rFonts w:ascii="Times New Roman" w:eastAsia="仿宋_GB2312" w:hAnsi="Times New Roman" w:cs="Times New Roman"/>
              </w:rPr>
              <w:t>GB 17167</w:t>
            </w:r>
            <w:r>
              <w:rPr>
                <w:rFonts w:ascii="Times New Roman" w:eastAsia="仿宋_GB2312" w:hAnsi="Times New Roman" w:cs="Times New Roman" w:hint="eastAsia"/>
              </w:rPr>
              <w:t>、</w:t>
            </w:r>
            <w:r>
              <w:rPr>
                <w:rFonts w:ascii="Times New Roman" w:eastAsia="仿宋_GB2312" w:hAnsi="Times New Roman" w:cs="Times New Roman"/>
              </w:rPr>
              <w:t>GB 24789</w:t>
            </w:r>
            <w:r>
              <w:rPr>
                <w:rFonts w:ascii="Times New Roman" w:eastAsia="仿宋_GB2312" w:hAnsi="Times New Roman" w:cs="Times New Roman" w:hint="eastAsia"/>
              </w:rPr>
              <w:t>等要求配备、使用和管理能源、水以及其他资源的计量器具和装置，能源计量管理制度健全并执行良好。</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能源及资源使用的类型不同时，应进行分类计量。企业若具有以下设备，需满足分类计量的要求：（</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）照明系统；（</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）冷水机组、相关用能设备的能耗计量和控制；（</w:t>
            </w: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）室内用水、室外用水；（</w:t>
            </w: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）空气处理设备的流量和压力计量；（</w:t>
            </w: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）锅炉；（</w:t>
            </w:r>
            <w:r>
              <w:rPr>
                <w:rFonts w:ascii="Times New Roman" w:eastAsia="仿宋_GB2312" w:hAnsi="Times New Roman" w:cs="Times New Roman"/>
                <w:kern w:val="0"/>
                <w:sz w:val="24"/>
                <w:szCs w:val="24"/>
              </w:rPr>
              <w:t>6</w:t>
            </w:r>
            <w:r>
              <w:rPr>
                <w:rFonts w:ascii="Times New Roman" w:eastAsia="仿宋_GB2312" w:hAnsi="Times New Roman" w:cs="Times New Roman" w:hint="eastAsia"/>
                <w:kern w:val="0"/>
                <w:sz w:val="24"/>
                <w:szCs w:val="24"/>
              </w:rPr>
              <w:t>）冷却塔。</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必要时，企业应投入适宜的污染物处理设备，以确保其污染物排放达到相关法律法规及标准要求。污染物处理设备的处理能力应与企业生产排放相适应，设备应满足通用设备的节能方面的要求。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建筑材料：（</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）选用蕴能低、高性能、高耐久性和本地建材，减少建材在全生命周期中的能源消耗；（</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）室内装饰装修材料满足国家标准</w:t>
            </w:r>
            <w:r>
              <w:rPr>
                <w:rFonts w:ascii="Times New Roman" w:eastAsia="仿宋_GB2312" w:hAnsi="Times New Roman" w:cs="Times New Roman"/>
                <w:kern w:val="0"/>
                <w:sz w:val="24"/>
                <w:szCs w:val="24"/>
              </w:rPr>
              <w:t>GB 18580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18588</w:t>
            </w:r>
            <w:r>
              <w:rPr>
                <w:rFonts w:ascii="Times New Roman" w:eastAsia="仿宋_GB2312" w:hAnsi="Times New Roman" w:cs="Times New Roman" w:hint="eastAsia"/>
                <w:kern w:val="0"/>
                <w:sz w:val="24"/>
                <w:szCs w:val="24"/>
              </w:rPr>
              <w:t>和《建筑材料放射性核素限量》</w:t>
            </w:r>
            <w:r>
              <w:rPr>
                <w:rFonts w:ascii="Times New Roman" w:eastAsia="仿宋_GB2312" w:hAnsi="Times New Roman" w:cs="Times New Roman"/>
                <w:kern w:val="0"/>
                <w:sz w:val="24"/>
                <w:szCs w:val="24"/>
              </w:rPr>
              <w:t>GB 6566</w:t>
            </w:r>
            <w:r>
              <w:rPr>
                <w:rFonts w:ascii="Times New Roman" w:eastAsia="仿宋_GB2312" w:hAnsi="Times New Roman" w:cs="Times New Roman" w:hint="eastAsia"/>
                <w:kern w:val="0"/>
                <w:sz w:val="24"/>
                <w:szCs w:val="24"/>
              </w:rPr>
              <w:t>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建筑结构：采用钢结构、砌体结构和木结构等资源消耗和环境影响小的建筑结构体系。</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绿化及场地：（</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）场地内设置可遮荫避雨的步行连廊。</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厂区绿化适宜，优先种植乡土植物，采用少维护、耐候性强的植物，减少日常维护的费用。（</w:t>
            </w: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）室外透水地面面积占室外总面积的比例不小于</w:t>
            </w:r>
            <w:r>
              <w:rPr>
                <w:rFonts w:ascii="Times New Roman" w:eastAsia="仿宋_GB2312" w:hAnsi="Times New Roman" w:cs="Times New Roman"/>
                <w:kern w:val="0"/>
                <w:sz w:val="24"/>
                <w:szCs w:val="24"/>
              </w:rPr>
              <w:t>30%</w:t>
            </w:r>
            <w:r>
              <w:rPr>
                <w:rFonts w:ascii="Times New Roman" w:eastAsia="仿宋_GB2312" w:hAnsi="Times New Roman" w:cs="Times New Roman" w:hint="eastAsia"/>
                <w:kern w:val="0"/>
                <w:sz w:val="24"/>
                <w:szCs w:val="24"/>
              </w:rPr>
              <w:t>。</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再生资源及能源利用：（</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）可再生能源的使用占建筑总能耗的比例大于</w:t>
            </w:r>
            <w:r>
              <w:rPr>
                <w:rFonts w:ascii="Times New Roman" w:eastAsia="仿宋_GB2312" w:hAnsi="Times New Roman" w:cs="Times New Roman"/>
                <w:kern w:val="0"/>
                <w:sz w:val="24"/>
                <w:szCs w:val="24"/>
              </w:rPr>
              <w:t>10%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）采用节水器具和设备，节水率不低于</w:t>
            </w:r>
            <w:r>
              <w:rPr>
                <w:rFonts w:ascii="Times New Roman" w:eastAsia="仿宋_GB2312" w:hAnsi="Times New Roman" w:cs="Times New Roman"/>
                <w:kern w:val="0"/>
                <w:sz w:val="24"/>
                <w:szCs w:val="24"/>
              </w:rPr>
              <w:t>10%</w:t>
            </w:r>
            <w:r>
              <w:rPr>
                <w:rFonts w:ascii="Times New Roman" w:eastAsia="仿宋_GB2312" w:hAnsi="Times New Roman" w:cs="Times New Roman" w:hint="eastAsia"/>
                <w:kern w:val="0"/>
                <w:sz w:val="24"/>
                <w:szCs w:val="24"/>
              </w:rPr>
              <w:t>。</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适用时，企业的厂房采用多层建筑。</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厂区及各房间或场所的照明尽量利用自然光。</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工艺适用时，节能灯等节能型照明设备的使用占比不低于</w:t>
            </w:r>
            <w:r>
              <w:rPr>
                <w:rFonts w:ascii="Times New Roman" w:eastAsia="仿宋_GB2312" w:hAnsi="Times New Roman" w:cs="Times New Roman"/>
                <w:kern w:val="0"/>
                <w:sz w:val="24"/>
                <w:szCs w:val="24"/>
              </w:rPr>
              <w:t>50%</w:t>
            </w:r>
            <w:r>
              <w:rPr>
                <w:rFonts w:ascii="Times New Roman" w:eastAsia="仿宋_GB2312" w:hAnsi="Times New Roman" w:cs="Times New Roman" w:hint="eastAsia"/>
                <w:kern w:val="0"/>
                <w:sz w:val="24"/>
                <w:szCs w:val="24"/>
              </w:rPr>
              <w:t>。</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公共场所的照明采取分区、分组与定时自动调光等措施。</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企业使用的通用用能设备采用了节能型产品或效率高、能耗低、水耗低、物耗低的产品。</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8</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管理</w:t>
            </w:r>
          </w:p>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体系</w:t>
            </w: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企业应建立、实施并保持质量管理体系和职业健康安全管理体系。企业的质量管理体系应满足</w:t>
            </w:r>
            <w:r>
              <w:rPr>
                <w:rFonts w:ascii="Times New Roman" w:eastAsia="仿宋_GB2312" w:hAnsi="Times New Roman" w:cs="Times New Roman"/>
                <w:kern w:val="0"/>
                <w:sz w:val="24"/>
                <w:szCs w:val="24"/>
              </w:rPr>
              <w:t>GB/T 19001</w:t>
            </w:r>
            <w:r>
              <w:rPr>
                <w:rFonts w:ascii="Times New Roman" w:eastAsia="仿宋_GB2312" w:hAnsi="Times New Roman" w:cs="Times New Roman" w:hint="eastAsia"/>
                <w:kern w:val="0"/>
                <w:sz w:val="24"/>
                <w:szCs w:val="24"/>
              </w:rPr>
              <w:t>的要求，职业健康安全管理体系应满足</w:t>
            </w:r>
            <w:r>
              <w:rPr>
                <w:rFonts w:ascii="Times New Roman" w:eastAsia="仿宋_GB2312" w:hAnsi="Times New Roman" w:cs="Times New Roman"/>
                <w:kern w:val="0"/>
                <w:sz w:val="24"/>
                <w:szCs w:val="24"/>
              </w:rPr>
              <w:t>GB/T 28001</w:t>
            </w:r>
            <w:r>
              <w:rPr>
                <w:rFonts w:ascii="Times New Roman" w:eastAsia="仿宋_GB2312" w:hAnsi="Times New Roman" w:cs="Times New Roman" w:hint="eastAsia"/>
                <w:kern w:val="0"/>
                <w:sz w:val="24"/>
                <w:szCs w:val="24"/>
              </w:rPr>
              <w:t>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w:t>
            </w:r>
          </w:p>
        </w:tc>
        <w:tc>
          <w:tcPr>
            <w:tcW w:w="851" w:type="dxa"/>
            <w:vMerge w:val="restart"/>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w:t>
            </w: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企业应建立、实施并保持环境管理体系。工厂的环境管理体系应满足</w:t>
            </w:r>
            <w:r>
              <w:rPr>
                <w:rFonts w:ascii="Times New Roman" w:eastAsia="仿宋_GB2312" w:hAnsi="Times New Roman" w:cs="Times New Roman"/>
                <w:kern w:val="0"/>
                <w:sz w:val="24"/>
                <w:szCs w:val="24"/>
              </w:rPr>
              <w:t>GB/T 24001</w:t>
            </w:r>
            <w:r>
              <w:rPr>
                <w:rFonts w:ascii="Times New Roman" w:eastAsia="仿宋_GB2312" w:hAnsi="Times New Roman" w:cs="Times New Roman" w:hint="eastAsia"/>
                <w:kern w:val="0"/>
                <w:sz w:val="24"/>
                <w:szCs w:val="24"/>
              </w:rPr>
              <w:t>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企业应建立、实施并保持能源管理体系。工厂的能源管理体系应满足</w:t>
            </w:r>
            <w:r>
              <w:rPr>
                <w:rFonts w:ascii="Times New Roman" w:eastAsia="仿宋_GB2312" w:hAnsi="Times New Roman" w:cs="Times New Roman"/>
                <w:kern w:val="0"/>
                <w:sz w:val="24"/>
                <w:szCs w:val="24"/>
              </w:rPr>
              <w:t>GB/T 23331</w:t>
            </w:r>
            <w:r>
              <w:rPr>
                <w:rFonts w:ascii="Times New Roman" w:eastAsia="仿宋_GB2312" w:hAnsi="Times New Roman" w:cs="Times New Roman" w:hint="eastAsia"/>
                <w:kern w:val="0"/>
                <w:sz w:val="24"/>
                <w:szCs w:val="24"/>
              </w:rPr>
              <w:t>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通过质量管理体系和职业健康安全管理体系第三方认证。</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通过环境管理体系第三方认证。</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通过能源管理体系第三方认证。</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每年发布社会责任报告，说明履行利益相关方责任的情况，特别是环境社会责任的履行情况，报告公开可获得。</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能源</w:t>
            </w:r>
          </w:p>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资源</w:t>
            </w:r>
          </w:p>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投入</w:t>
            </w: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企业应优化用能结构，在保证安全、质量的前提下减少不可再生能源投入。</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w:t>
            </w: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企业应按照</w:t>
            </w:r>
            <w:r>
              <w:rPr>
                <w:rFonts w:ascii="Times New Roman" w:eastAsia="仿宋_GB2312" w:hAnsi="Times New Roman" w:cs="Times New Roman"/>
                <w:kern w:val="0"/>
                <w:sz w:val="24"/>
                <w:szCs w:val="24"/>
              </w:rPr>
              <w:t>GB/T</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7119</w:t>
            </w:r>
            <w:r>
              <w:rPr>
                <w:rFonts w:ascii="Times New Roman" w:eastAsia="仿宋_GB2312" w:hAnsi="Times New Roman" w:cs="Times New Roman" w:hint="eastAsia"/>
                <w:kern w:val="0"/>
                <w:sz w:val="24"/>
                <w:szCs w:val="24"/>
              </w:rPr>
              <w:t>的要求对其开展节水评价工作，且满足</w:t>
            </w:r>
            <w:r>
              <w:rPr>
                <w:rFonts w:ascii="Times New Roman" w:eastAsia="仿宋_GB2312" w:hAnsi="Times New Roman" w:cs="Times New Roman"/>
                <w:kern w:val="0"/>
                <w:sz w:val="24"/>
                <w:szCs w:val="24"/>
              </w:rPr>
              <w:t>GB/T</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18916</w:t>
            </w:r>
            <w:r>
              <w:rPr>
                <w:rFonts w:ascii="Times New Roman" w:eastAsia="仿宋_GB2312" w:hAnsi="Times New Roman" w:cs="Times New Roman" w:hint="eastAsia"/>
                <w:kern w:val="0"/>
                <w:sz w:val="24"/>
                <w:szCs w:val="24"/>
              </w:rPr>
              <w:t>（所有部分）中对应本行业的取水定额要求。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681"/>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企业应减少材料、尤其是有害物质的使用，评估有害物质及化学品减量使用或替代的可行性。</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577"/>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企业应按照</w:t>
            </w:r>
            <w:r>
              <w:rPr>
                <w:rFonts w:ascii="Times New Roman" w:eastAsia="仿宋_GB2312" w:hAnsi="Times New Roman" w:cs="Times New Roman"/>
                <w:kern w:val="0"/>
                <w:sz w:val="24"/>
                <w:szCs w:val="24"/>
              </w:rPr>
              <w:t>GB/T 29115</w:t>
            </w:r>
            <w:r>
              <w:rPr>
                <w:rFonts w:ascii="Times New Roman" w:eastAsia="仿宋_GB2312" w:hAnsi="Times New Roman" w:cs="Times New Roman" w:hint="eastAsia"/>
                <w:kern w:val="0"/>
                <w:sz w:val="24"/>
                <w:szCs w:val="24"/>
              </w:rPr>
              <w:t>的要求对其原材料使用量的减少进行评价。</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企业应制定并实施包括环保要求的选择、评价和重新评价供方的准则。</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企业应确定并实施检验或其他必要的活动，以确保采购的产品满足规定的采购要求。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建有能源管理中心。</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8</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建有厂区光伏电站、智能微电网。</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使用了低碳清洁的新能源。</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使用可再生能源代替不可再生能源。</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充分利用余热余压。</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使用回收料、可回收材料替代原生材料、不可回收材料。</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替代或减少全球增温潜势较高温室气体的使用。</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企业向供方提供的采购信息包含有害物质使用、可回收材料使用、能效等环保要求。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满足绿色供应链评价要求。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产品</w:t>
            </w: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仿宋_GB2312" w:cs="Times New Roman" w:hint="eastAsia"/>
                <w:sz w:val="24"/>
                <w:szCs w:val="24"/>
              </w:rPr>
              <w:t>企业在产品设计中引入生态设计的理念。产品生态设计制度健全并执行良好。</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30</w:t>
            </w:r>
          </w:p>
        </w:tc>
        <w:tc>
          <w:tcPr>
            <w:tcW w:w="851"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90"/>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企业生产的产品（包括原料和辅料）应减少有害物质的使用，避免有害物质的泄露，满足国家对产品中有害物质限制使用的要求。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企业生产的产品若为用能产品或在使用过程中对最终产品</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构造的能耗有影响的产品，适用时，应满足相关标准的限定值要求。未制定标准的，产品能效应不低于行业平均值。</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24256</w:t>
            </w:r>
            <w:r>
              <w:rPr>
                <w:rFonts w:ascii="Times New Roman" w:eastAsia="仿宋_GB2312" w:hAnsi="Times New Roman" w:cs="Times New Roman" w:hint="eastAsia"/>
                <w:kern w:val="0"/>
                <w:sz w:val="24"/>
                <w:szCs w:val="24"/>
              </w:rPr>
              <w:t>对生产的产品进行生态设计。</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669"/>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32161</w:t>
            </w:r>
            <w:r>
              <w:rPr>
                <w:rFonts w:ascii="Times New Roman" w:eastAsia="仿宋_GB2312" w:hAnsi="Times New Roman" w:cs="Times New Roman" w:hint="eastAsia"/>
                <w:kern w:val="0"/>
                <w:sz w:val="24"/>
                <w:szCs w:val="24"/>
              </w:rPr>
              <w:t>对生产的产品进行生态设计产品评价，满足绿色产品（生态设计产品）评价要求。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实现有害物质替代。</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达到相关标准中的节能评价值</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先进值要求，未制定标准的，产品能效达到行业前</w:t>
            </w:r>
            <w:r>
              <w:rPr>
                <w:rFonts w:ascii="Times New Roman" w:eastAsia="仿宋_GB2312" w:hAnsi="Times New Roman" w:cs="Times New Roman"/>
                <w:kern w:val="0"/>
                <w:sz w:val="24"/>
                <w:szCs w:val="24"/>
              </w:rPr>
              <w:t>20%</w:t>
            </w:r>
            <w:r>
              <w:rPr>
                <w:rFonts w:ascii="Times New Roman" w:eastAsia="仿宋_GB2312" w:hAnsi="Times New Roman" w:cs="Times New Roman" w:hint="eastAsia"/>
                <w:kern w:val="0"/>
                <w:sz w:val="24"/>
                <w:szCs w:val="24"/>
              </w:rPr>
              <w:t>的水平。</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采用适用的标准或规范对产品进行碳足迹核算或核查。</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利用核算或核查结果对其产品的碳足迹进行改善，核算或核查结果对外公布。</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适用时，产品满足相关低碳产品要求。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554"/>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20862</w:t>
            </w:r>
            <w:r>
              <w:rPr>
                <w:rFonts w:ascii="Times New Roman" w:eastAsia="仿宋_GB2312" w:hAnsi="Times New Roman" w:cs="Times New Roman" w:hint="eastAsia"/>
                <w:kern w:val="0"/>
                <w:sz w:val="24"/>
                <w:szCs w:val="24"/>
              </w:rPr>
              <w:t>的要求计算其产品的可回收利用率。</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利用计算结果对产品的可回收利用率进行改善。</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环境</w:t>
            </w:r>
          </w:p>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排放</w:t>
            </w: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企业的大气污染物排放应符合相关国家标准、行业标准及地方标准要求，并满足区域内排放总量控制要求。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w:t>
            </w:r>
          </w:p>
        </w:tc>
        <w:tc>
          <w:tcPr>
            <w:tcW w:w="851"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企业的水体污染物排放应符合相关国家标准、行业标准及地方标准要求，或在满足要求的前提下委托具备相应能力和资质的处理厂进行处理，并满足区域内排放总量控制要求。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企业产生的固体废弃物的处理应符合</w:t>
            </w:r>
            <w:r>
              <w:rPr>
                <w:rFonts w:ascii="Times New Roman" w:eastAsia="仿宋_GB2312" w:hAnsi="Times New Roman" w:cs="Times New Roman"/>
                <w:kern w:val="0"/>
                <w:sz w:val="24"/>
                <w:szCs w:val="24"/>
              </w:rPr>
              <w:t>GB 18599</w:t>
            </w:r>
            <w:r>
              <w:rPr>
                <w:rFonts w:ascii="Times New Roman" w:eastAsia="仿宋_GB2312" w:hAnsi="Times New Roman" w:cs="Times New Roman" w:hint="eastAsia"/>
                <w:kern w:val="0"/>
                <w:sz w:val="24"/>
                <w:szCs w:val="24"/>
              </w:rPr>
              <w:t>及相关标准的要求。工厂无法自行处理的，应将固体废弃物转交给具备相应能力和资质的处理厂进行处理。</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厂界环境噪声排放应符合相关国家标准、行业标准及地方标准要求。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企业应采用</w:t>
            </w:r>
            <w:r>
              <w:rPr>
                <w:rFonts w:ascii="Times New Roman" w:eastAsia="仿宋_GB2312" w:hAnsi="Times New Roman" w:cs="Times New Roman"/>
                <w:kern w:val="0"/>
                <w:sz w:val="24"/>
                <w:szCs w:val="24"/>
              </w:rPr>
              <w:t>GB/T 32150</w:t>
            </w:r>
            <w:r>
              <w:rPr>
                <w:rFonts w:ascii="Times New Roman" w:eastAsia="仿宋_GB2312" w:hAnsi="Times New Roman" w:cs="Times New Roman" w:hint="eastAsia"/>
                <w:kern w:val="0"/>
                <w:sz w:val="24"/>
                <w:szCs w:val="24"/>
              </w:rPr>
              <w:t>或适用的标准或规范对其厂界范围内的温室气体排放进行核算和报告。</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D07ADF" w:rsidRDefault="00BA0849">
            <w:pPr>
              <w:widowControl/>
              <w:spacing w:line="276" w:lineRule="auto"/>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企业的主要大气污染物排放满足标准中更高等级的要求。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widowControl/>
              <w:spacing w:line="276" w:lineRule="auto"/>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企业的主要水体污染物排放满足标准中更高等级的要求。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Pr>
                <w:rFonts w:ascii="Times New Roman" w:eastAsia="仿宋_GB2312" w:hAnsi="Times New Roman" w:cs="Times New Roman"/>
                <w:kern w:val="0"/>
                <w:sz w:val="24"/>
                <w:szCs w:val="24"/>
              </w:rPr>
              <w:t>获得温室气体排放量第三方核查声明</w:t>
            </w:r>
            <w:r>
              <w:rPr>
                <w:rFonts w:ascii="Times New Roman" w:eastAsia="仿宋_GB2312" w:hAnsi="Times New Roman" w:cs="Times New Roman" w:hint="eastAsia"/>
                <w:kern w:val="0"/>
                <w:sz w:val="24"/>
                <w:szCs w:val="24"/>
              </w:rPr>
              <w:t>。</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D07ADF" w:rsidRDefault="00BA0849">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核查结果对外公布。</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rPr>
              <w:t>可行时，利用核算或核查结果对其温室气体的排放进行改善。</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绩效</w:t>
            </w:r>
          </w:p>
        </w:tc>
        <w:tc>
          <w:tcPr>
            <w:tcW w:w="949" w:type="dxa"/>
            <w:vMerge w:val="restart"/>
            <w:vAlign w:val="center"/>
          </w:tcPr>
          <w:p w:rsidR="00D07ADF" w:rsidRDefault="00BA0849">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计算工厂容积率，指标应不低于《工业项目建设用地控制指标》的要求。</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restart"/>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30%</w:t>
            </w: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计算工厂建筑密度，建筑密度不低于</w:t>
            </w:r>
            <w:r>
              <w:rPr>
                <w:rFonts w:ascii="Times New Roman" w:eastAsia="仿宋_GB2312" w:hAnsi="Times New Roman" w:cs="Times New Roman"/>
                <w:kern w:val="0"/>
                <w:sz w:val="24"/>
                <w:szCs w:val="24"/>
              </w:rPr>
              <w:t>30%</w:t>
            </w:r>
            <w:r>
              <w:rPr>
                <w:rFonts w:ascii="Times New Roman" w:eastAsia="仿宋_GB2312" w:hAnsi="Times New Roman" w:cs="Times New Roman" w:hint="eastAsia"/>
                <w:kern w:val="0"/>
                <w:sz w:val="24"/>
                <w:szCs w:val="24"/>
              </w:rPr>
              <w:t>。</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企业的单位用地面积产能不低于行业平均水平。或：工厂的单位用地面积产值不低于全市单位用地面积产值的平均水平。</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绿色物料使用率，绿色物料使用率不低于行业平均水平。（绿色物料选自省级以上政府相关部门发布的资源综合利用产品目录、有毒有害原料（产品）替代目录等，或利用再生资源及产业废弃物等作为原料）。</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计算单位产品主要污染物产生量（包括化学需氧量、氨氮、二氧化硫、氮氧化物等），指标不高于行业平均水平。</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计算单位产品废气产生量，指标应不高于行业平均水平。（装备、电子、电器等离散制造业可采用单位产值或单位工业增加值指标。）</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计算单位产品废水产生量，指标应不高于行业平均水平。（装备、电子、电器等离散制造业可采用单位产值或单位工业增加值指标。）</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计算单位产品主要原材料消耗量，指标应不高于行业平均水平。</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计算工业固体废物综合利用率，指标应不低于行业平均水平。</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计算废水处理回用率，指标应高于行业平均值。</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计算单位产品综合能耗，指标应符合相关国家、行业标准中的限额要求。未制定相关标准的，应达到行业平均水平。</w:t>
            </w:r>
            <w:r>
              <w:rPr>
                <w:rFonts w:ascii="Times New Roman" w:eastAsia="仿宋_GB2312" w:hAnsi="仿宋_GB2312" w:cs="Times New Roman" w:hint="eastAsia"/>
                <w:sz w:val="24"/>
                <w:szCs w:val="24"/>
              </w:rPr>
              <w:t>（装备、电子、电器等离散制造业可采用单位产值或单位工业增加值指标。）</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143"/>
          <w:jc w:val="center"/>
        </w:trPr>
        <w:tc>
          <w:tcPr>
            <w:tcW w:w="1203" w:type="dxa"/>
            <w:vMerge/>
            <w:vAlign w:val="center"/>
          </w:tcPr>
          <w:p w:rsidR="00D07ADF" w:rsidRDefault="00D07ADF">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D07ADF" w:rsidRDefault="00D07ADF">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D07ADF" w:rsidRDefault="00BA0849">
            <w:pPr>
              <w:adjustRightInd w:val="0"/>
              <w:snapToGrid w:val="0"/>
              <w:rPr>
                <w:rFonts w:ascii="Times New Roman" w:eastAsia="仿宋_GB2312" w:hAnsi="Times New Roman" w:cs="Times New Roman"/>
                <w:kern w:val="0"/>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计算单位产品碳排放量，指标应不高于行业平均水平。（装备、电子、电器等离散制造业可采用单位产值或单位工业增加值指标。）</w:t>
            </w:r>
          </w:p>
        </w:tc>
        <w:tc>
          <w:tcPr>
            <w:tcW w:w="3311"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D07ADF" w:rsidRDefault="00BA0849">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c>
          <w:tcPr>
            <w:tcW w:w="887" w:type="dxa"/>
            <w:vAlign w:val="center"/>
          </w:tcPr>
          <w:p w:rsidR="00D07ADF" w:rsidRDefault="00D07ADF">
            <w:pPr>
              <w:adjustRightInd w:val="0"/>
              <w:snapToGrid w:val="0"/>
              <w:jc w:val="center"/>
              <w:rPr>
                <w:rFonts w:ascii="Times New Roman" w:eastAsia="仿宋_GB2312" w:hAnsi="Times New Roman" w:cs="Times New Roman"/>
                <w:kern w:val="0"/>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hAnsi="Times New Roman" w:cs="Times New Roman"/>
              </w:rPr>
            </w:pPr>
          </w:p>
        </w:tc>
        <w:tc>
          <w:tcPr>
            <w:tcW w:w="949" w:type="dxa"/>
            <w:vMerge w:val="restart"/>
            <w:vAlign w:val="center"/>
          </w:tcPr>
          <w:p w:rsidR="00D07ADF" w:rsidRDefault="00BA0849">
            <w:pPr>
              <w:adjustRightInd w:val="0"/>
              <w:snapToGrid w:val="0"/>
              <w:jc w:val="center"/>
              <w:rPr>
                <w:rFonts w:ascii="Times New Roman" w:hAnsi="Times New Roman" w:cs="Times New Roman"/>
              </w:rPr>
            </w:pPr>
            <w:r>
              <w:rPr>
                <w:rFonts w:ascii="Times New Roman" w:eastAsia="仿宋_GB2312" w:hAnsi="Times New Roman" w:cs="Times New Roman" w:hint="eastAsia"/>
                <w:kern w:val="0"/>
                <w:sz w:val="24"/>
                <w:szCs w:val="24"/>
              </w:rPr>
              <w:t>可选</w:t>
            </w: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计算工厂容积率，指标达到《工业项目建设用地控制指标》要求的</w:t>
            </w:r>
            <w:r>
              <w:rPr>
                <w:rFonts w:ascii="Times New Roman" w:eastAsia="仿宋_GB2312" w:hAnsi="Times New Roman" w:cs="Times New Roman"/>
                <w:sz w:val="24"/>
                <w:szCs w:val="24"/>
              </w:rPr>
              <w:t>1.2</w:t>
            </w:r>
            <w:r>
              <w:rPr>
                <w:rFonts w:ascii="Times New Roman" w:eastAsia="仿宋_GB2312" w:hAnsi="仿宋_GB2312" w:cs="Times New Roman" w:hint="eastAsia"/>
                <w:sz w:val="24"/>
                <w:szCs w:val="24"/>
              </w:rPr>
              <w:t>倍及以上，</w:t>
            </w:r>
            <w:r>
              <w:rPr>
                <w:rFonts w:ascii="Times New Roman" w:eastAsia="仿宋_GB2312" w:hAnsi="Times New Roman" w:cs="Times New Roman"/>
                <w:sz w:val="24"/>
                <w:szCs w:val="24"/>
              </w:rPr>
              <w:t>2</w:t>
            </w:r>
            <w:r>
              <w:rPr>
                <w:rFonts w:ascii="Times New Roman" w:eastAsia="仿宋_GB2312" w:hAnsi="仿宋_GB2312" w:cs="Times New Roman" w:hint="eastAsia"/>
                <w:sz w:val="24"/>
                <w:szCs w:val="24"/>
              </w:rPr>
              <w:t>倍及以上为满分。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计算工厂建筑密度，建筑密度达到</w:t>
            </w:r>
            <w:r>
              <w:rPr>
                <w:rFonts w:ascii="Times New Roman" w:eastAsia="仿宋_GB2312" w:hAnsi="Times New Roman" w:cs="Times New Roman"/>
                <w:sz w:val="24"/>
                <w:szCs w:val="24"/>
              </w:rPr>
              <w:t>40%</w:t>
            </w:r>
            <w:r>
              <w:rPr>
                <w:rFonts w:ascii="Times New Roman" w:eastAsia="仿宋_GB2312" w:hAnsi="仿宋_GB2312" w:cs="Times New Roman" w:hint="eastAsia"/>
                <w:sz w:val="24"/>
                <w:szCs w:val="24"/>
              </w:rPr>
              <w:t>。</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企业的单位用地面积产能指标优于行业前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为满分；或：单位用地面积产值达到济南市单位用地面积产值平均水平的</w:t>
            </w:r>
            <w:r>
              <w:rPr>
                <w:rFonts w:ascii="Times New Roman" w:eastAsia="仿宋_GB2312" w:hAnsi="Times New Roman" w:cs="Times New Roman"/>
                <w:sz w:val="24"/>
                <w:szCs w:val="24"/>
              </w:rPr>
              <w:t>1.2</w:t>
            </w:r>
            <w:r>
              <w:rPr>
                <w:rFonts w:ascii="Times New Roman" w:eastAsia="仿宋_GB2312" w:hAnsi="仿宋_GB2312" w:cs="Times New Roman" w:hint="eastAsia"/>
                <w:sz w:val="24"/>
                <w:szCs w:val="24"/>
              </w:rPr>
              <w:t>倍及以上，</w:t>
            </w:r>
            <w:r>
              <w:rPr>
                <w:rFonts w:ascii="Times New Roman" w:eastAsia="仿宋_GB2312" w:hAnsi="Times New Roman" w:cs="Times New Roman"/>
                <w:sz w:val="24"/>
                <w:szCs w:val="24"/>
              </w:rPr>
              <w:t>2</w:t>
            </w:r>
            <w:r>
              <w:rPr>
                <w:rFonts w:ascii="Times New Roman" w:eastAsia="仿宋_GB2312" w:hAnsi="仿宋_GB2312" w:cs="Times New Roman" w:hint="eastAsia"/>
                <w:sz w:val="24"/>
                <w:szCs w:val="24"/>
              </w:rPr>
              <w:t>倍为满分。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计算绿色物料使用率，工厂物料的绿色物料使用率指标优于行业前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计算单位产品主要污染物产生量（包括化学需氧量、氨氮、二氧化硫、氮氧化物等），指标优于行业前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计算单位产品废气产生量，指标优于行业前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计算单位产品废水产生量，指标优于行业前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计算单位产品主要原材料消耗量，指标优于行业前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计算工业固体废物综合利用率，指标达到</w:t>
            </w:r>
            <w:r>
              <w:rPr>
                <w:rFonts w:ascii="Times New Roman" w:eastAsia="仿宋_GB2312" w:hAnsi="Times New Roman" w:cs="Times New Roman"/>
                <w:sz w:val="24"/>
                <w:szCs w:val="24"/>
              </w:rPr>
              <w:t>73%</w:t>
            </w:r>
            <w:r>
              <w:rPr>
                <w:rFonts w:ascii="Times New Roman" w:eastAsia="仿宋_GB2312" w:hAnsi="仿宋_GB2312" w:cs="Times New Roman" w:hint="eastAsia"/>
                <w:sz w:val="24"/>
                <w:szCs w:val="24"/>
              </w:rPr>
              <w:t>（根据行业特点，该指标可在</w:t>
            </w:r>
            <w:r>
              <w:rPr>
                <w:rFonts w:ascii="Times New Roman" w:eastAsia="仿宋_GB2312" w:hAnsi="Times New Roman" w:cs="Times New Roman" w:hint="eastAsia"/>
                <w:sz w:val="24"/>
                <w:szCs w:val="24"/>
              </w:rPr>
              <w:t>±根据行</w:t>
            </w:r>
            <w:r>
              <w:rPr>
                <w:rFonts w:ascii="Times New Roman" w:eastAsia="仿宋_GB2312" w:hAnsi="仿宋_GB2312" w:cs="Times New Roman" w:hint="eastAsia"/>
                <w:sz w:val="24"/>
                <w:szCs w:val="24"/>
              </w:rPr>
              <w:t>之间选取），</w:t>
            </w:r>
            <w:r>
              <w:rPr>
                <w:rFonts w:ascii="Times New Roman" w:eastAsia="仿宋_GB2312" w:hAnsi="Times New Roman" w:cs="Times New Roman"/>
                <w:sz w:val="24"/>
                <w:szCs w:val="24"/>
              </w:rPr>
              <w:t>90%</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计算废水处理回用率，指标优于行业前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计算单位产品综合能耗，指标达到相关国家、行业标准中的先进值要求。未制定相关标准的，应优于行业前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r w:rsidR="00D07ADF">
        <w:trPr>
          <w:trHeight w:val="143"/>
          <w:jc w:val="center"/>
        </w:trPr>
        <w:tc>
          <w:tcPr>
            <w:tcW w:w="1203"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949"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3322" w:type="dxa"/>
            <w:vAlign w:val="center"/>
          </w:tcPr>
          <w:p w:rsidR="00D07ADF" w:rsidRDefault="00BA0849">
            <w:pPr>
              <w:rPr>
                <w:rFonts w:ascii="Times New Roman" w:eastAsia="仿宋_GB2312" w:hAnsi="Times New Roman" w:cs="Times New Roman"/>
                <w:sz w:val="24"/>
                <w:szCs w:val="24"/>
              </w:rPr>
            </w:pPr>
            <w:r>
              <w:rPr>
                <w:rFonts w:ascii="Times New Roman" w:eastAsia="仿宋_GB2312" w:hAnsi="仿宋_GB2312" w:cs="Times New Roman" w:hint="eastAsia"/>
                <w:sz w:val="24"/>
                <w:szCs w:val="24"/>
              </w:rPr>
              <w:t>按照</w:t>
            </w:r>
            <w:r>
              <w:rPr>
                <w:rFonts w:ascii="Times New Roman" w:eastAsia="仿宋_GB2312" w:hAnsi="Times New Roman" w:cs="Times New Roman"/>
                <w:sz w:val="24"/>
                <w:szCs w:val="24"/>
              </w:rPr>
              <w:t>GB/T 36132</w:t>
            </w:r>
            <w:r>
              <w:rPr>
                <w:rFonts w:ascii="Times New Roman" w:eastAsia="仿宋_GB2312" w:hAnsi="仿宋_GB2312" w:cs="Times New Roman" w:hint="eastAsia"/>
                <w:sz w:val="24"/>
                <w:szCs w:val="24"/>
              </w:rPr>
              <w:t>附录</w:t>
            </w:r>
            <w:r>
              <w:rPr>
                <w:rFonts w:ascii="Times New Roman" w:eastAsia="仿宋_GB2312" w:hAnsi="Times New Roman" w:cs="Times New Roman"/>
                <w:sz w:val="24"/>
                <w:szCs w:val="24"/>
              </w:rPr>
              <w:t>A</w:t>
            </w:r>
            <w:r>
              <w:rPr>
                <w:rFonts w:ascii="Times New Roman" w:eastAsia="仿宋_GB2312" w:hAnsi="仿宋_GB2312" w:cs="Times New Roman" w:hint="eastAsia"/>
                <w:sz w:val="24"/>
                <w:szCs w:val="24"/>
              </w:rPr>
              <w:t>计算单位产品碳排放量，指标优于行业前</w:t>
            </w:r>
            <w:r>
              <w:rPr>
                <w:rFonts w:ascii="Times New Roman" w:eastAsia="仿宋_GB2312" w:hAnsi="Times New Roman" w:cs="Times New Roman"/>
                <w:sz w:val="24"/>
                <w:szCs w:val="24"/>
              </w:rPr>
              <w:t>20%</w:t>
            </w:r>
            <w:r>
              <w:rPr>
                <w:rFonts w:ascii="Times New Roman" w:eastAsia="仿宋_GB2312" w:hAnsi="仿宋_GB2312" w:cs="Times New Roman" w:hint="eastAsia"/>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仿宋_GB2312" w:cs="Times New Roman" w:hint="eastAsia"/>
                <w:sz w:val="24"/>
                <w:szCs w:val="24"/>
              </w:rPr>
              <w:t>为满分。</w:t>
            </w:r>
          </w:p>
        </w:tc>
        <w:tc>
          <w:tcPr>
            <w:tcW w:w="3311" w:type="dxa"/>
            <w:vAlign w:val="center"/>
          </w:tcPr>
          <w:p w:rsidR="00D07ADF" w:rsidRDefault="00D07ADF">
            <w:pPr>
              <w:adjustRightInd w:val="0"/>
              <w:snapToGrid w:val="0"/>
              <w:rPr>
                <w:rFonts w:ascii="Times New Roman" w:eastAsia="仿宋_GB2312" w:hAnsi="Times New Roman" w:cs="Times New Roman"/>
                <w:sz w:val="24"/>
                <w:szCs w:val="24"/>
              </w:rPr>
            </w:pPr>
          </w:p>
        </w:tc>
        <w:tc>
          <w:tcPr>
            <w:tcW w:w="2410" w:type="dxa"/>
            <w:vAlign w:val="center"/>
          </w:tcPr>
          <w:p w:rsidR="00D07ADF" w:rsidRDefault="00D07ADF">
            <w:pPr>
              <w:adjustRightInd w:val="0"/>
              <w:snapToGrid w:val="0"/>
              <w:rPr>
                <w:rFonts w:ascii="Times New Roman" w:eastAsia="仿宋_GB2312" w:hAnsi="Times New Roman" w:cs="Times New Roman"/>
                <w:sz w:val="24"/>
                <w:szCs w:val="24"/>
              </w:rPr>
            </w:pPr>
          </w:p>
        </w:tc>
        <w:tc>
          <w:tcPr>
            <w:tcW w:w="1015" w:type="dxa"/>
            <w:vAlign w:val="center"/>
          </w:tcPr>
          <w:p w:rsidR="00D07ADF" w:rsidRDefault="00BA0849">
            <w:pPr>
              <w:widowControl/>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851" w:type="dxa"/>
            <w:vMerge/>
            <w:vAlign w:val="center"/>
          </w:tcPr>
          <w:p w:rsidR="00D07ADF" w:rsidRDefault="00D07ADF">
            <w:pPr>
              <w:adjustRightInd w:val="0"/>
              <w:snapToGrid w:val="0"/>
              <w:rPr>
                <w:rFonts w:ascii="Times New Roman" w:eastAsia="仿宋_GB2312" w:hAnsi="Times New Roman" w:cs="Times New Roman"/>
                <w:sz w:val="24"/>
                <w:szCs w:val="24"/>
              </w:rPr>
            </w:pPr>
          </w:p>
        </w:tc>
        <w:tc>
          <w:tcPr>
            <w:tcW w:w="887" w:type="dxa"/>
            <w:vAlign w:val="center"/>
          </w:tcPr>
          <w:p w:rsidR="00D07ADF" w:rsidRDefault="00D07ADF">
            <w:pPr>
              <w:adjustRightInd w:val="0"/>
              <w:snapToGrid w:val="0"/>
              <w:rPr>
                <w:rFonts w:ascii="Times New Roman" w:eastAsia="仿宋_GB2312" w:hAnsi="Times New Roman" w:cs="Times New Roman"/>
                <w:sz w:val="24"/>
                <w:szCs w:val="24"/>
              </w:rPr>
            </w:pPr>
          </w:p>
        </w:tc>
      </w:tr>
    </w:tbl>
    <w:p w:rsidR="00D07ADF" w:rsidRDefault="00BA084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注：绿色工厂必须满足各项必选要求，可选要求按照受评工厂满足程度在</w:t>
      </w:r>
      <w:r>
        <w:rPr>
          <w:rFonts w:ascii="Times New Roman" w:eastAsia="仿宋_GB2312" w:hAnsi="Times New Roman" w:cs="Times New Roman"/>
          <w:sz w:val="24"/>
          <w:szCs w:val="24"/>
        </w:rPr>
        <w:t xml:space="preserve"> 0 </w:t>
      </w:r>
      <w:r>
        <w:rPr>
          <w:rFonts w:ascii="Times New Roman" w:eastAsia="仿宋_GB2312" w:hAnsi="Times New Roman" w:cs="Times New Roman" w:hint="eastAsia"/>
          <w:sz w:val="24"/>
          <w:szCs w:val="24"/>
        </w:rPr>
        <w:t>分到满分中取值。</w:t>
      </w:r>
    </w:p>
    <w:p w:rsidR="00D07ADF" w:rsidRDefault="00D07ADF">
      <w:pPr>
        <w:rPr>
          <w:rFonts w:ascii="仿宋_GB2312" w:eastAsia="仿宋_GB2312"/>
          <w:sz w:val="24"/>
          <w:szCs w:val="24"/>
        </w:rPr>
      </w:pPr>
    </w:p>
    <w:sectPr w:rsidR="00D07ADF" w:rsidSect="00D07AD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ADF" w:rsidRDefault="00D07ADF" w:rsidP="00D07ADF">
      <w:r>
        <w:separator/>
      </w:r>
    </w:p>
  </w:endnote>
  <w:endnote w:type="continuationSeparator" w:id="0">
    <w:p w:rsidR="00D07ADF" w:rsidRDefault="00D07ADF" w:rsidP="00D07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49" w:rsidRDefault="00BA084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DF" w:rsidRDefault="00D07ADF">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07ADF" w:rsidRDefault="00D07ADF">
                <w:pPr>
                  <w:pStyle w:val="a4"/>
                  <w:rPr>
                    <w:rFonts w:ascii="仿宋" w:eastAsia="仿宋" w:hAnsi="仿宋" w:cs="仿宋"/>
                    <w:sz w:val="24"/>
                    <w:szCs w:val="24"/>
                  </w:rPr>
                </w:pPr>
                <w:r>
                  <w:rPr>
                    <w:rFonts w:ascii="仿宋" w:eastAsia="仿宋" w:hAnsi="仿宋" w:cs="仿宋" w:hint="eastAsia"/>
                    <w:sz w:val="24"/>
                    <w:szCs w:val="24"/>
                  </w:rPr>
                  <w:fldChar w:fldCharType="begin"/>
                </w:r>
                <w:r w:rsidR="00BA0849">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BA0849">
                  <w:rPr>
                    <w:rFonts w:ascii="仿宋" w:eastAsia="仿宋" w:hAnsi="仿宋" w:cs="仿宋"/>
                    <w:noProof/>
                    <w:sz w:val="24"/>
                    <w:szCs w:val="24"/>
                  </w:rPr>
                  <w:t>21</w:t>
                </w:r>
                <w:r>
                  <w:rPr>
                    <w:rFonts w:ascii="仿宋" w:eastAsia="仿宋" w:hAnsi="仿宋" w:cs="仿宋" w:hint="eastAsia"/>
                    <w:sz w:val="24"/>
                    <w:szCs w:val="24"/>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49" w:rsidRDefault="00BA08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ADF" w:rsidRDefault="00D07ADF" w:rsidP="00D07ADF">
      <w:r>
        <w:separator/>
      </w:r>
    </w:p>
  </w:footnote>
  <w:footnote w:type="continuationSeparator" w:id="0">
    <w:p w:rsidR="00D07ADF" w:rsidRDefault="00D07ADF" w:rsidP="00D07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49" w:rsidRDefault="00BA084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49" w:rsidRDefault="00BA0849" w:rsidP="00BA0849">
    <w:pPr>
      <w:pStyle w:val="a5"/>
      <w:pBdr>
        <w:bottom w:val="none" w:sz="0" w:space="0" w:color="auto"/>
      </w:pBdr>
      <w:pPrChange w:id="0" w:author="微软用户" w:date="2022-04-18T10:03:00Z">
        <w:pPr>
          <w:pStyle w:val="a5"/>
        </w:pPr>
      </w:pPrChang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49" w:rsidRDefault="00BA084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64F33"/>
    <w:multiLevelType w:val="multilevel"/>
    <w:tmpl w:val="3CB64F33"/>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1DC3"/>
    <w:rsid w:val="00022ED6"/>
    <w:rsid w:val="000523C9"/>
    <w:rsid w:val="00062E09"/>
    <w:rsid w:val="000811C2"/>
    <w:rsid w:val="00093C34"/>
    <w:rsid w:val="000B6883"/>
    <w:rsid w:val="000C070A"/>
    <w:rsid w:val="001230E4"/>
    <w:rsid w:val="00123F14"/>
    <w:rsid w:val="001E1D2B"/>
    <w:rsid w:val="0029424D"/>
    <w:rsid w:val="00353DF7"/>
    <w:rsid w:val="003C3F75"/>
    <w:rsid w:val="003F23F0"/>
    <w:rsid w:val="004A7A53"/>
    <w:rsid w:val="004B000D"/>
    <w:rsid w:val="004B6D6A"/>
    <w:rsid w:val="004C351F"/>
    <w:rsid w:val="004D178E"/>
    <w:rsid w:val="004E624A"/>
    <w:rsid w:val="0053505C"/>
    <w:rsid w:val="005B35AF"/>
    <w:rsid w:val="005C102D"/>
    <w:rsid w:val="006113BD"/>
    <w:rsid w:val="006457E0"/>
    <w:rsid w:val="006C684E"/>
    <w:rsid w:val="006D6FB0"/>
    <w:rsid w:val="00732047"/>
    <w:rsid w:val="00744780"/>
    <w:rsid w:val="00761A12"/>
    <w:rsid w:val="007F0691"/>
    <w:rsid w:val="007F2909"/>
    <w:rsid w:val="008100BD"/>
    <w:rsid w:val="00837631"/>
    <w:rsid w:val="00870D05"/>
    <w:rsid w:val="008B794A"/>
    <w:rsid w:val="008C22B9"/>
    <w:rsid w:val="00A00E56"/>
    <w:rsid w:val="00A1423A"/>
    <w:rsid w:val="00A17F8F"/>
    <w:rsid w:val="00A31898"/>
    <w:rsid w:val="00A32209"/>
    <w:rsid w:val="00A3732E"/>
    <w:rsid w:val="00A40EE5"/>
    <w:rsid w:val="00A96E1D"/>
    <w:rsid w:val="00AA2955"/>
    <w:rsid w:val="00AF1DC3"/>
    <w:rsid w:val="00AF5052"/>
    <w:rsid w:val="00B2547C"/>
    <w:rsid w:val="00B6175C"/>
    <w:rsid w:val="00B61A6C"/>
    <w:rsid w:val="00BA0849"/>
    <w:rsid w:val="00BA17BD"/>
    <w:rsid w:val="00BA7A1D"/>
    <w:rsid w:val="00BC2C9B"/>
    <w:rsid w:val="00C550CE"/>
    <w:rsid w:val="00C75B90"/>
    <w:rsid w:val="00CE2313"/>
    <w:rsid w:val="00D07ADF"/>
    <w:rsid w:val="00D36060"/>
    <w:rsid w:val="00D50618"/>
    <w:rsid w:val="00D66919"/>
    <w:rsid w:val="00D66B83"/>
    <w:rsid w:val="00E90B42"/>
    <w:rsid w:val="00F21319"/>
    <w:rsid w:val="00F43CB1"/>
    <w:rsid w:val="00F4406B"/>
    <w:rsid w:val="00F574DD"/>
    <w:rsid w:val="00F672E3"/>
    <w:rsid w:val="00F83D07"/>
    <w:rsid w:val="00FC07C0"/>
    <w:rsid w:val="2639193E"/>
    <w:rsid w:val="3B203FDB"/>
    <w:rsid w:val="44FB3DCB"/>
    <w:rsid w:val="507C2108"/>
    <w:rsid w:val="5A5E5F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ADF"/>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07ADF"/>
    <w:rPr>
      <w:sz w:val="18"/>
      <w:szCs w:val="18"/>
    </w:rPr>
  </w:style>
  <w:style w:type="paragraph" w:styleId="a4">
    <w:name w:val="footer"/>
    <w:basedOn w:val="a"/>
    <w:link w:val="Char0"/>
    <w:uiPriority w:val="99"/>
    <w:unhideWhenUsed/>
    <w:qFormat/>
    <w:rsid w:val="00D07AD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07A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D07ADF"/>
    <w:rPr>
      <w:sz w:val="18"/>
      <w:szCs w:val="18"/>
    </w:rPr>
  </w:style>
  <w:style w:type="character" w:customStyle="1" w:styleId="Char0">
    <w:name w:val="页脚 Char"/>
    <w:basedOn w:val="a0"/>
    <w:link w:val="a4"/>
    <w:uiPriority w:val="99"/>
    <w:qFormat/>
    <w:rsid w:val="00D07ADF"/>
    <w:rPr>
      <w:sz w:val="18"/>
      <w:szCs w:val="18"/>
    </w:rPr>
  </w:style>
  <w:style w:type="paragraph" w:customStyle="1" w:styleId="1">
    <w:name w:val="列出段落1"/>
    <w:basedOn w:val="a"/>
    <w:uiPriority w:val="34"/>
    <w:qFormat/>
    <w:rsid w:val="00D07ADF"/>
    <w:pPr>
      <w:ind w:firstLineChars="200" w:firstLine="420"/>
    </w:pPr>
  </w:style>
  <w:style w:type="paragraph" w:customStyle="1" w:styleId="3">
    <w:name w:val="列出段落3"/>
    <w:basedOn w:val="a"/>
    <w:uiPriority w:val="34"/>
    <w:qFormat/>
    <w:rsid w:val="00D07ADF"/>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D07ADF"/>
    <w:pPr>
      <w:ind w:firstLineChars="200" w:firstLine="420"/>
    </w:pPr>
  </w:style>
  <w:style w:type="paragraph" w:styleId="a6">
    <w:name w:val="List Paragraph"/>
    <w:basedOn w:val="a"/>
    <w:uiPriority w:val="99"/>
    <w:qFormat/>
    <w:rsid w:val="00D07ADF"/>
    <w:pPr>
      <w:ind w:firstLineChars="200" w:firstLine="420"/>
    </w:pPr>
  </w:style>
  <w:style w:type="character" w:customStyle="1" w:styleId="Char">
    <w:name w:val="批注框文本 Char"/>
    <w:basedOn w:val="a0"/>
    <w:link w:val="a3"/>
    <w:uiPriority w:val="99"/>
    <w:semiHidden/>
    <w:qFormat/>
    <w:rsid w:val="00D07ADF"/>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5361</Words>
  <Characters>1679</Characters>
  <Application>Microsoft Office Word</Application>
  <DocSecurity>0</DocSecurity>
  <Lines>13</Lines>
  <Paragraphs>14</Paragraphs>
  <ScaleCrop>false</ScaleCrop>
  <Company>济南市人民政府</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101</cp:revision>
  <dcterms:created xsi:type="dcterms:W3CDTF">2019-09-26T06:28:00Z</dcterms:created>
  <dcterms:modified xsi:type="dcterms:W3CDTF">2022-04-18T02:04:00Z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