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30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30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tabs>
          <w:tab w:val="left" w:pos="5220"/>
        </w:tabs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济南市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绿色供应链管理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企业</w:t>
      </w:r>
    </w:p>
    <w:p>
      <w:pPr>
        <w:tabs>
          <w:tab w:val="left" w:pos="5220"/>
        </w:tabs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自评价报告</w:t>
      </w:r>
    </w:p>
    <w:p>
      <w:pPr>
        <w:spacing w:line="360" w:lineRule="auto"/>
        <w:rPr>
          <w:rFonts w:hint="default" w:ascii="Times New Roman" w:hAnsi="Times New Roman" w:cs="Times New Roman"/>
          <w:b/>
          <w:sz w:val="5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318135</wp:posOffset>
                </wp:positionV>
                <wp:extent cx="2592070" cy="635"/>
                <wp:effectExtent l="0" t="0" r="0" b="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5" o:spid="_x0000_s1026" o:spt="32" type="#_x0000_t32" style="position:absolute;left:0pt;flip:y;margin-left:143.25pt;margin-top:25.05pt;height:0.05pt;width:204.1pt;z-index:251659264;mso-width-relative:page;mso-height-relative:page;" filled="f" stroked="t" coordsize="21600,21600" o:gfxdata="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HvPJo9gAAAAJAQAADwAAAAAAAAABACAAAAA4AAAAZHJzL2Rvd25y&#10;ZXYueG1sUEsBAhQAFAAAAAgAh07iQFibz3foAQAA9QMAAA4AAAAAAAAAAQAgAAAAPQ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申报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（盖章）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spacing w:line="360" w:lineRule="auto"/>
        <w:ind w:firstLine="1600" w:firstLineChars="5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1600" w:firstLineChars="5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316230</wp:posOffset>
                </wp:positionV>
                <wp:extent cx="2592070" cy="635"/>
                <wp:effectExtent l="0" t="0" r="0" b="0"/>
                <wp:wrapNone/>
                <wp:docPr id="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flip:y;margin-left:141.75pt;margin-top:24.9pt;height:0.05pt;width:204.1pt;z-index:251660288;mso-width-relative:page;mso-height-relative:page;" filled="f" stroked="t" coordsize="21600,21600" o:gfxdata="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LauaR3XAAAACQEAAA8AAAAAAAAAAQAgAAAAOAAAAGRycy9kb3ducmV2&#10;LnhtbFBLAQIUABQAAAAIAIdO4kCdZuzS5wEAAPUDAAAOAAAAAAAAAAEAIAAAADw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所在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区县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：                         </w:t>
      </w:r>
    </w:p>
    <w:p>
      <w:pPr>
        <w:spacing w:line="360" w:lineRule="auto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024</w:t>
      </w:r>
      <w:r>
        <w:rPr>
          <w:rFonts w:hint="default" w:ascii="Times New Roman" w:hAnsi="Times New Roman" w:eastAsia="仿宋" w:cs="Times New Roman"/>
          <w:sz w:val="32"/>
          <w:szCs w:val="32"/>
        </w:rPr>
        <w:t>年    月    日</w:t>
      </w:r>
    </w:p>
    <w:p>
      <w:pPr>
        <w:spacing w:line="360" w:lineRule="auto"/>
        <w:rPr>
          <w:rFonts w:hint="default" w:ascii="Times New Roman" w:hAnsi="Times New Roman" w:cs="Times New Roman"/>
          <w:b/>
          <w:sz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360" w:lineRule="auto"/>
        <w:jc w:val="both"/>
        <w:rPr>
          <w:rFonts w:hint="default" w:ascii="Times New Roman" w:hAnsi="Times New Roman" w:eastAsia="方正小标宋简体" w:cs="Times New Roman"/>
          <w:sz w:val="30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sz w:val="48"/>
          <w:szCs w:val="48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 写 说 明</w:t>
      </w:r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30"/>
        </w:rPr>
      </w:pPr>
    </w:p>
    <w:p>
      <w:pPr>
        <w:tabs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一、申请企业应当准确、如实填报。</w:t>
      </w:r>
    </w:p>
    <w:p>
      <w:pPr>
        <w:tabs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二、所属行业请依据GB/T 4754-2017《国民经济行业分类》填写；单位性质依据营业执照中的类型填写。</w:t>
      </w:r>
    </w:p>
    <w:p>
      <w:pPr>
        <w:tabs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三、有关项目页面不够时，可加附页。</w:t>
      </w:r>
    </w:p>
    <w:p>
      <w:pPr>
        <w:spacing w:before="156" w:beforeLines="50" w:after="312" w:afterLines="100" w:line="360" w:lineRule="auto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基本信息表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000000" w:sz="8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117"/>
        <w:gridCol w:w="1240"/>
        <w:gridCol w:w="2336"/>
      </w:tblGrid>
      <w:tr>
        <w:trPr>
          <w:cantSplit/>
          <w:trHeight w:val="567" w:hRule="atLeast"/>
        </w:trPr>
        <w:tc>
          <w:tcPr>
            <w:tcW w:w="1639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693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主要产品  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6693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内资（□国有□集体□民营）□中外合资□港澳台□外商独资</w:t>
            </w:r>
          </w:p>
        </w:tc>
      </w:tr>
      <w:tr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统一社会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法定代表人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注册机关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有效期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申报工作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联系部门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企业简介</w:t>
            </w:r>
          </w:p>
        </w:tc>
        <w:tc>
          <w:tcPr>
            <w:tcW w:w="6693" w:type="dxa"/>
            <w:gridSpan w:val="3"/>
            <w:noWrap w:val="0"/>
            <w:vAlign w:val="top"/>
          </w:tcPr>
          <w:p>
            <w:pPr>
              <w:widowControl/>
              <w:spacing w:before="156" w:beforeLines="5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至少应包括：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企业基本情况、经营状况、上下游供应商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所获荣誉情况等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rPr>
          <w:cantSplit/>
          <w:trHeight w:val="1272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绿色供应链创建经验及成效</w:t>
            </w:r>
          </w:p>
        </w:tc>
        <w:tc>
          <w:tcPr>
            <w:tcW w:w="6693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（从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绿色供应链管理战略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实施绿色供应商管理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绿色生产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绿色回收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绿色信息平台建设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绿色信息披露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等方面概述供应链创建的经验和成效，800字以内）</w:t>
            </w:r>
          </w:p>
        </w:tc>
      </w:tr>
      <w:tr>
        <w:trPr>
          <w:cantSplit/>
          <w:trHeight w:val="2400" w:hRule="atLeast"/>
        </w:trPr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>材料真实性承诺:</w:t>
            </w: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我单位郑重承诺：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企业近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三年未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发生安全（含网络安全、数据安全）、质量、环境污染等事故以及偷漏税等违法违规行为的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未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在国务院及有关部门相关督查工作中被发现存在严重问题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不在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工业节能监察整改名单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且不属于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失信被执行人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本次申报绿色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供应链管理企业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所提交的相关数据和信息均真实、有效，愿接受并积极配合主管部门的监督抽查和核验。如有违反，愿承担由此产生的相应责任。</w:t>
            </w: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 xml:space="preserve">法人或单位负责人签字：          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  <w:lang w:eastAsia="zh-CN"/>
              </w:rPr>
              <w:t>公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>章）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>日期：</w:t>
            </w:r>
            <w:r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</w:t>
            </w:r>
          </w:p>
          <w:p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</w:t>
            </w:r>
          </w:p>
        </w:tc>
      </w:tr>
    </w:tbl>
    <w:p>
      <w:pPr>
        <w:numPr>
          <w:ilvl w:val="0"/>
          <w:numId w:val="1"/>
        </w:numPr>
        <w:spacing w:before="0" w:beforeLines="0" w:after="0" w:afterLines="0" w:line="360" w:lineRule="auto"/>
        <w:ind w:firstLine="640" w:firstLineChars="200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企业基本情况</w:t>
      </w:r>
    </w:p>
    <w:p>
      <w:pPr>
        <w:pStyle w:val="7"/>
        <w:ind w:firstLine="640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概述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的基本信息、发展现状、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主要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产品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生产经营状况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以及在绿色发展方面开展的重点工作及取得的成绩等。</w:t>
      </w:r>
    </w:p>
    <w:p>
      <w:pPr>
        <w:numPr>
          <w:ilvl w:val="0"/>
          <w:numId w:val="1"/>
        </w:numPr>
        <w:spacing w:before="0" w:beforeLines="0" w:after="0" w:afterLines="0" w:line="360" w:lineRule="auto"/>
        <w:ind w:firstLine="640" w:firstLineChars="200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绿色供应链创建情况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对照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绿色工厂梯度培育及管理暂行办法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中所列否决条件情况，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供应链管理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评价要求》（电子电器、机械、汽车行业应根据“绿色供应链管理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评价标准清单”的评价指标体系）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中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基本要求的符合性以及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绿色供应链管理战略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实施绿色供应商管理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绿色生产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绿色回收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绿色信息平台建设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绿色信息披露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等内容进行情况描述。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绿色工厂梯度培育及管理暂行办法》条件情况。主要描述企业是否存在所列否决条件情况。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基本要求的符合性。主要描述附表1.1中各项要求的符合情况。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.绿色供应链管理战略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企业在绿色供应链管理战略方面开展的工作做法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，以及相关标准落实情况。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.绿色供应商管理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企业绿色供应商管理方面开展的工作做法，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以及相关标准落实情况。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.绿色生产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企业绿色生产方面开展工作做法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以及相关标准落实情况。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.绿色回收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企业在绿色回收方面开展的工作做法，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以及相关标准落实情况。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.绿色信息平台建设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绿色信息平台建设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以及相关标准的落实情况。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.绿色信息披露情况。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绿色信息披露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以及相关标准的落实情况。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9.开展“碳足迹核算”情况（加分项）。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主要描述企业在“碳足迹核算”方面开展的工作做法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自评价结果</w:t>
      </w:r>
    </w:p>
    <w:tbl>
      <w:tblPr>
        <w:tblStyle w:val="4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780"/>
        <w:gridCol w:w="3896"/>
      </w:tblGrid>
      <w:tr>
        <w:trPr>
          <w:trHeight w:val="599" w:hRule="atLeast"/>
        </w:trPr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基本要求</w:t>
            </w:r>
          </w:p>
        </w:tc>
        <w:tc>
          <w:tcPr>
            <w:tcW w:w="667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□符合  □不符合</w:t>
            </w:r>
          </w:p>
        </w:tc>
      </w:tr>
      <w:tr>
        <w:trPr>
          <w:trHeight w:val="567" w:hRule="atLeast"/>
        </w:trPr>
        <w:tc>
          <w:tcPr>
            <w:tcW w:w="22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一级指标得分情况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绿色供应链管理战略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绿色供应商管理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绿色生产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绿色回收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绿色信息平台建设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绿色信息披露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加分项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“碳足迹核算”情况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50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上一年度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总得分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下一步工作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企业未来发展目标，持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续推进绿色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供应链管理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方面拟开展的重点工作，拟实施的重大项目情况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1.绿色供应链管理未来目标。主要描述各项绩效指标在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年后（202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年)的预期目标。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2.绿色供应链管理企业创建重点工作。主要描述企业在202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-202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年为持续提升绿色供应链管理水平开展的重点工作任务情况。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3.减碳工作。主要描述企业在减少供应链碳排放方面的工作计划和减排目标。</w:t>
      </w:r>
    </w:p>
    <w:p>
      <w:pPr>
        <w:pStyle w:val="7"/>
        <w:numPr>
          <w:ilvl w:val="0"/>
          <w:numId w:val="0"/>
        </w:numPr>
        <w:spacing w:before="0" w:beforeLines="0" w:after="0" w:afterLines="0" w:line="360" w:lineRule="auto"/>
        <w:ind w:firstLine="640" w:firstLineChars="200"/>
        <w:outlineLvl w:val="9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4.重点项目情况。填写202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-202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年企业拟建设的绿色供应链相关重点项目汇总表，测算项目节能、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节水、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节材、减排、降碳和资源综合利用绩效。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表xx 绿色供应链相关重点项目汇总表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80"/>
        <w:gridCol w:w="1828"/>
        <w:gridCol w:w="1420"/>
        <w:gridCol w:w="1420"/>
        <w:gridCol w:w="1420"/>
      </w:tblGrid>
      <w:t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项目建设期限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项目投资估算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项目效益分析</w:t>
            </w:r>
          </w:p>
        </w:tc>
      </w:tr>
      <w:t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绿色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供应链管理企业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创建自评表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依据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情况和《绿色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供应链管理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评价要求》进行自评，并填写附表1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.1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和附表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相关证明材料</w:t>
      </w:r>
    </w:p>
    <w:p>
      <w:p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与基本要求和指标测算相关的证明材料。</w:t>
      </w:r>
    </w:p>
    <w:p>
      <w:p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附表1.1</w:t>
      </w:r>
    </w:p>
    <w:p>
      <w:pPr>
        <w:spacing w:before="0" w:beforeLines="0" w:after="0" w:afterLines="0" w:line="360" w:lineRule="auto"/>
        <w:ind w:firstLine="600" w:firstLineChars="200"/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</w:p>
    <w:p>
      <w:pPr>
        <w:widowControl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/>
          <w:sz w:val="36"/>
          <w:szCs w:val="36"/>
          <w:lang w:val="en-US" w:eastAsia="zh-CN"/>
        </w:rPr>
        <w:t>绿色</w:t>
      </w:r>
      <w:r>
        <w:rPr>
          <w:rFonts w:hint="eastAsia" w:ascii="Times New Roman" w:hAnsi="Times New Roman" w:eastAsia="黑体" w:cs="Times New Roman"/>
          <w:bCs/>
          <w:sz w:val="36"/>
          <w:szCs w:val="32"/>
          <w:lang w:val="en-US" w:eastAsia="zh-CN"/>
        </w:rPr>
        <w:t>供应链管理企业</w:t>
      </w:r>
      <w:r>
        <w:rPr>
          <w:rFonts w:hint="default" w:ascii="Times New Roman" w:hAnsi="Times New Roman" w:eastAsia="黑体" w:cs="Times New Roman"/>
          <w:bCs/>
          <w:sz w:val="36"/>
          <w:szCs w:val="32"/>
        </w:rPr>
        <w:t>基本要求自评表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417"/>
        <w:gridCol w:w="2035"/>
      </w:tblGrid>
      <w:tr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具有独立法人资格。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具有较强的行业影响力。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具有较完善的能源资源、环境管理体系，各项管理制度健全，符合国家和地方的法律法规及标准规范要求，近三年无重大安全和环境污染事故。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拥有数量众多的供应商，在供应商中有很强的影响力，与上下游供应商建立良好的合作关系。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有完善的供应商管理体系，建立健全的供应商认证、选择、审核、绩效管理和退出机制。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有健全的财务管理制度，销售盈利能力处于行业领先水平。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对实施绿色供应链管理有明确的工作目标、思路、计划和措施。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附表1.2</w:t>
      </w:r>
    </w:p>
    <w:p>
      <w:pPr>
        <w:widowControl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绿色供应链管理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评价指标体系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  <w:t>（20  年）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28"/>
        <w:gridCol w:w="3601"/>
        <w:gridCol w:w="840"/>
        <w:gridCol w:w="840"/>
        <w:gridCol w:w="1038"/>
      </w:tblGrid>
      <w:tr>
        <w:trPr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一级指标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序号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二级指标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最高分值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得分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证明材料索引</w:t>
            </w:r>
          </w:p>
        </w:tc>
      </w:tr>
      <w:tr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绿色供应链管理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战略X1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纳入公司发展规划X11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制定绿色供应链管理目标X12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设置专门管理机构X13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实施绿色供应商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管理X2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绿色采购标准制度完善X21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供应商认证体系完善X22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对供应商定期审核X23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供应商绩效评估制度健全X24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定期对供应商进行培训X25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低风险供应商占比X26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绿色生产X3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节能减排环保合规X31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rPr>
          <w:trHeight w:val="952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符合有害物质限制使用管理办法X32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绿色回收X4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产品回收率X41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包装回收率X42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rPr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回收体系完善（含自建、与第三方联合回收）X43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rPr>
          <w:trHeight w:val="57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指导下游企业回收拆解X44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rPr>
          <w:trHeight w:val="906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绿色信息平台建设X5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绿色供应链管理信息平台完善X51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rPr>
          <w:trHeight w:val="906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绿色信息披露X6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披露企业节能减排减碳信息X61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rPr>
          <w:trHeight w:val="762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披露高、中风险供应商审核率及低风险供应商占比X62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披露供应商节能减排信息X63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发布企业社会责任报告（含绿色采购信息）X64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加分项</w:t>
            </w:r>
          </w:p>
        </w:tc>
        <w:tc>
          <w:tcPr>
            <w:tcW w:w="43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碳足迹核算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情况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ind w:firstLine="602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说明：</w:t>
      </w:r>
      <w:r>
        <w:rPr>
          <w:rFonts w:hint="default" w:ascii="Times New Roman" w:hAnsi="Times New Roman" w:eastAsia="仿宋" w:cs="Times New Roman"/>
          <w:sz w:val="30"/>
          <w:szCs w:val="30"/>
        </w:rPr>
        <w:t>为便于绿色供应链管理评价，现对《绿色供应链管理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sz w:val="30"/>
          <w:szCs w:val="30"/>
        </w:rPr>
        <w:t>评价要求》（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《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绿色工厂梯度培育及管理暂行办法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》</w:t>
      </w:r>
      <w:r>
        <w:rPr>
          <w:rFonts w:hint="default" w:ascii="Times New Roman" w:hAnsi="Times New Roman" w:eastAsia="仿宋" w:cs="Times New Roman"/>
          <w:sz w:val="30"/>
          <w:szCs w:val="30"/>
        </w:rPr>
        <w:t xml:space="preserve"> 附件3）中的绿色供应链管理指数公式进行简化，具体计算公式简化为：</w:t>
      </w:r>
    </w:p>
    <w:p>
      <w:pPr>
        <w:tabs>
          <w:tab w:val="center" w:pos="4153"/>
        </w:tabs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m:oMathPara>
        <m:oMath>
          <m:r>
            <m:rPr>
              <m:sty m:val="p"/>
            </m:rPr>
            <w:rPr>
              <w:rFonts w:hint="eastAsia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GSCI</m:t>
          </m:r>
          <m:r>
            <m:rPr>
              <m:sty m:val="p"/>
            </m:rPr>
            <w:rPr>
              <w:rFonts w:hint="default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=</m:t>
          </m:r>
          <m:sSub>
            <m:sSubP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X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11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+</m:t>
          </m:r>
          <m:sSub>
            <m:sSubP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X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12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+</m:t>
          </m:r>
          <m:sSub>
            <m:sSubP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X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13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+</m:t>
          </m:r>
          <m:sSub>
            <m:sSubP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X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21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+</m:t>
          </m:r>
          <m:sSub>
            <m:sSubP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X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22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+</m:t>
          </m:r>
          <m:sSub>
            <m:sSubP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X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23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+</m:t>
          </m:r>
          <m:sSub>
            <m:sSubP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X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24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+</m:t>
          </m:r>
          <m:sSub>
            <m:sSubP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X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25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+</m:t>
          </m:r>
          <m:sSub>
            <m:sSubP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X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26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+</m:t>
          </m:r>
          <m:sSub>
            <m:sSubP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X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31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+</m:t>
          </m:r>
          <m:sSub>
            <m:sSubP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X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32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+</m:t>
          </m:r>
          <m:sSub>
            <m:sSubP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X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41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+</m:t>
          </m:r>
          <m:sSub>
            <m:sSubP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X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42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+</m:t>
          </m:r>
          <m:sSub>
            <m:sSubP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X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43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+</m:t>
          </m:r>
          <m:sSub>
            <m:sSubP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X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44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+</m:t>
          </m:r>
          <m:sSub>
            <m:sSubP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X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51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+</m:t>
          </m:r>
          <m:sSub>
            <m:sSubP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X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61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+</m:t>
          </m:r>
          <m:sSub>
            <m:sSubP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X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62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+</m:t>
          </m:r>
          <m:sSub>
            <m:sSubP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X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63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DejaVu Math TeX Gyre" w:hAnsi="DejaVu Math TeX Gyre" w:eastAsia="仿宋_GB2312" w:cs="Times New Roman"/>
              <w:kern w:val="2"/>
              <w:position w:val="-30"/>
              <w:sz w:val="28"/>
              <w:szCs w:val="28"/>
              <w:lang w:val="en-US" w:eastAsia="zh-CN" w:bidi="ar-SA"/>
            </w:rPr>
            <m:t>+</m:t>
          </m:r>
          <m:sSub>
            <m:sSubP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X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  <m:t>64</m:t>
              </m:r>
              <m:ctrlPr>
                <w:rPr>
                  <w:rFonts w:hint="default" w:ascii="DejaVu Math TeX Gyre" w:hAnsi="DejaVu Math TeX Gyre" w:eastAsia="仿宋_GB2312" w:cs="Times New Roman"/>
                  <w:kern w:val="2"/>
                  <w:position w:val="-30"/>
                  <w:sz w:val="28"/>
                  <w:szCs w:val="28"/>
                  <w:lang w:val="en-US" w:eastAsia="zh-CN" w:bidi="ar-SA"/>
                </w:rPr>
              </m:ctrlPr>
            </m:sub>
          </m:sSub>
        </m:oMath>
      </m:oMathPara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仿宋_GB2312" w:hAnsi="仿宋_GB2312" w:eastAsia="仿宋_GB2312" w:cs="仿宋_GB2312"/>
        <w:sz w:val="22"/>
        <w:szCs w:val="22"/>
      </w:rPr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BoaYJL0wAAAAUBAAAPAAAAAAAAAAEAIAAAADgAAABkcnMvZG93bnJldi54bWxQ&#10;SwECFAAUAAAACACHTuJAsWeKL+YBAADIAwAADgAAAAAAAAABACAAAAA4AQAAZHJzL2Uyb0RvYy54&#10;bWxQSwUGAAAAAAYABgBZAQAAk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BF12C"/>
    <w:multiLevelType w:val="singleLevel"/>
    <w:tmpl w:val="A5BBF1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M2Y5OTI3YWUxMDUwMWM2YTM5NmE2OGU2Y2IwNzUifQ=="/>
  </w:docVars>
  <w:rsids>
    <w:rsidRoot w:val="53BA1692"/>
    <w:rsid w:val="53BA1692"/>
    <w:rsid w:val="5F7A7B4D"/>
    <w:rsid w:val="6FC87B1E"/>
    <w:rsid w:val="7B674683"/>
    <w:rsid w:val="7D9BD821"/>
    <w:rsid w:val="7DEB5BF9"/>
    <w:rsid w:val="FAE77BC5"/>
    <w:rsid w:val="FFFDA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2181</Words>
  <Characters>2312</Characters>
  <Lines>0</Lines>
  <Paragraphs>0</Paragraphs>
  <TotalTime>2</TotalTime>
  <ScaleCrop>false</ScaleCrop>
  <LinksUpToDate>false</LinksUpToDate>
  <CharactersWithSpaces>2511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2023-04-29T18:53:00Z</dcterms:created>
  <dc:creator>Administrator</dc:creator>
  <cp:lastModifiedBy>梦想成真</cp:lastModifiedBy>
  <dcterms:modified xsi:type="dcterms:W3CDTF">2024-02-20T11:12:43Z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BAFB2F1218314517AF046308B1CFD5EB_11</vt:lpwstr>
  </property>
</Properties>
</file>