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 xml:space="preserve">附件3 </w:t>
      </w:r>
    </w:p>
    <w:p>
      <w:pPr>
        <w:ind w:firstLine="640"/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山东省国家</w:t>
      </w:r>
      <w:r>
        <w:rPr>
          <w:rFonts w:eastAsia="黑体"/>
          <w:sz w:val="44"/>
          <w:szCs w:val="44"/>
        </w:rPr>
        <w:t>智慧健康养老应用</w:t>
      </w: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试点示范</w:t>
      </w:r>
      <w:r>
        <w:rPr>
          <w:rFonts w:hint="eastAsia" w:eastAsia="黑体"/>
          <w:sz w:val="44"/>
          <w:szCs w:val="44"/>
          <w:lang w:val="en-US" w:eastAsia="zh-CN"/>
        </w:rPr>
        <w:t>储备库</w:t>
      </w:r>
      <w:r>
        <w:rPr>
          <w:rFonts w:eastAsia="黑体"/>
          <w:sz w:val="44"/>
          <w:szCs w:val="44"/>
        </w:rPr>
        <w:t>申报书</w:t>
      </w:r>
    </w:p>
    <w:p>
      <w:pPr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〔街道（乡镇）类〕</w:t>
      </w: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eastAsia="黑体"/>
        </w:rPr>
        <w:t>申 报 单 位（ 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</w:t>
      </w:r>
    </w:p>
    <w:p>
      <w:pPr>
        <w:ind w:firstLine="0" w:firstLineChars="0"/>
        <w:rPr>
          <w:rFonts w:eastAsia="黑体"/>
          <w:u w:val="single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hint="eastAsia" w:eastAsia="黑体"/>
        </w:rPr>
        <w:t>推 荐 单 位</w:t>
      </w:r>
      <w:r>
        <w:rPr>
          <w:rFonts w:eastAsia="黑体"/>
        </w:rPr>
        <w:t>（ 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</w:t>
      </w:r>
    </w:p>
    <w:p>
      <w:pPr>
        <w:ind w:firstLine="0" w:firstLineChars="0"/>
        <w:rPr>
          <w:rFonts w:eastAsia="黑体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eastAsia="黑体"/>
        </w:rPr>
        <w:t xml:space="preserve">申    报    日    期  </w:t>
      </w:r>
      <w:r>
        <w:rPr>
          <w:rFonts w:eastAsia="黑体"/>
          <w:u w:val="single"/>
        </w:rPr>
        <w:t xml:space="preserve">                           </w:t>
      </w: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0" w:firstLineChars="0"/>
        <w:jc w:val="center"/>
        <w:rPr>
          <w:rFonts w:eastAsia="黑体"/>
          <w:sz w:val="40"/>
          <w:szCs w:val="40"/>
        </w:rPr>
      </w:pPr>
      <w:r>
        <w:rPr>
          <w:rFonts w:hint="eastAsia" w:eastAsia="黑体"/>
          <w:sz w:val="40"/>
          <w:szCs w:val="40"/>
          <w:lang w:val="en-US" w:eastAsia="zh-CN"/>
        </w:rPr>
        <w:t>山东省</w:t>
      </w:r>
      <w:r>
        <w:rPr>
          <w:rFonts w:eastAsia="黑体"/>
          <w:sz w:val="40"/>
          <w:szCs w:val="40"/>
        </w:rPr>
        <w:t>工业和信息化</w:t>
      </w:r>
      <w:r>
        <w:rPr>
          <w:rFonts w:hint="eastAsia" w:eastAsia="黑体"/>
          <w:sz w:val="40"/>
          <w:szCs w:val="40"/>
          <w:lang w:val="en-US" w:eastAsia="zh-CN"/>
        </w:rPr>
        <w:t>厅</w:t>
      </w:r>
      <w:r>
        <w:rPr>
          <w:rFonts w:eastAsia="黑体"/>
          <w:sz w:val="40"/>
          <w:szCs w:val="40"/>
        </w:rPr>
        <w:t>编制</w:t>
      </w:r>
    </w:p>
    <w:p>
      <w:pPr>
        <w:tabs>
          <w:tab w:val="left" w:pos="5220"/>
        </w:tabs>
        <w:ind w:firstLine="0" w:firstLineChars="0"/>
        <w:jc w:val="center"/>
        <w:rPr>
          <w:rFonts w:eastAsia="黑体"/>
          <w:sz w:val="40"/>
          <w:szCs w:val="40"/>
        </w:rPr>
      </w:pPr>
    </w:p>
    <w:p>
      <w:pPr>
        <w:spacing w:after="93" w:afterLines="30"/>
        <w:ind w:firstLine="803"/>
        <w:jc w:val="center"/>
        <w:rPr>
          <w:rFonts w:eastAsia="黑体"/>
          <w:b/>
          <w:color w:val="000000"/>
          <w:sz w:val="40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填写要求：</w:t>
      </w:r>
    </w:p>
    <w:p>
      <w:pPr>
        <w:ind w:firstLine="640"/>
      </w:pPr>
      <w:r>
        <w:t>1.严格按照申报书提供的提纲进行编制，不得随意更改写作内容。</w:t>
      </w:r>
    </w:p>
    <w:p>
      <w:pPr>
        <w:ind w:firstLine="640"/>
      </w:pPr>
      <w:r>
        <w:t>2.申报书打印要求：正反面打印。</w:t>
      </w:r>
    </w:p>
    <w:p>
      <w:pPr>
        <w:widowControl w:val="0"/>
        <w:spacing w:line="360" w:lineRule="auto"/>
        <w:ind w:left="640" w:firstLine="0" w:firstLineChars="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br w:type="page"/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一、基本情况表</w:t>
      </w:r>
    </w:p>
    <w:tbl>
      <w:tblPr>
        <w:tblStyle w:val="7"/>
        <w:tblW w:w="91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67"/>
        <w:gridCol w:w="588"/>
        <w:gridCol w:w="1488"/>
        <w:gridCol w:w="1872"/>
        <w:gridCol w:w="8"/>
        <w:gridCol w:w="1630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街道（乡镇）名称及地址</w:t>
            </w:r>
          </w:p>
        </w:tc>
        <w:tc>
          <w:tcPr>
            <w:tcW w:w="7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应用场景</w:t>
            </w:r>
          </w:p>
        </w:tc>
        <w:tc>
          <w:tcPr>
            <w:tcW w:w="7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智慧健康场景：□家庭健康管理 □基层健康管理 □老年人健康促进 □康复辅助训练 □互联网+医疗健康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w w:val="80"/>
                <w:kern w:val="0"/>
                <w:sz w:val="21"/>
                <w:szCs w:val="21"/>
              </w:rPr>
              <w:t>智慧养老场景：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□家庭养老床位 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社区日间照料 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智慧助老餐厅 □虚拟养老院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综合场景：□居家上门服务 □智慧养老院 □医养结合 □服务监管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3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传真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347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537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基本情况（202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年）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基本信息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街道总人口数量（万人）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辖区60岁以上老年人口（万人）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辖区80岁以上老年人口（万人）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空巢或独居老年人数量（万人）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失能及半失能老年人数量（万人）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老年志愿者注册人数（万人）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长期护理险覆盖人数（万人）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智慧健康养老服务从业人员数量（万人）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建设情况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辖区社区（村）数量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已投入资金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信息化建设和智能终端产品投入资金（万元）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所选应用场景个数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278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合作的服务/运营企业数量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养老照料中心数量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养老驿站数量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养老助餐点数量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社区卫生服务中心数量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医养结合中心数量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养老床位数量（张）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信息化情况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信息库建设情况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是否具有老年基础信息库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是否具有老年人健康信息库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是否具有从业人员基础信息库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信息系统建设情况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是否具有老年人健康监测系统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是否具有居家养老服务信息系统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是否具有养老服务监管系统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系统接入的第三方服务商数量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智慧健康养老应用情况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产品应用情况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健康管理设备应用种类数量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智能安全监护设备应用种类数量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智能生活照护设备应用种类数量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智能康复辅助设备应用种类数量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智能情感陪护设备应用种类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中医数字化设备种类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年使用人次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（万次）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智能产品使用率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服务情况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服务种类数量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服务人数（万人）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家庭医生签约率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居家适老化改造（信息化方向）户数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街道（乡镇）简介</w:t>
            </w:r>
          </w:p>
        </w:tc>
        <w:tc>
          <w:tcPr>
            <w:tcW w:w="799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（重点突出街道（乡镇）在智慧健康养老领域的发展现状、特色、优势等，不超过1000字）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288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真实性承诺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负责人签字：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公章：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年   月   日</w:t>
            </w:r>
          </w:p>
        </w:tc>
      </w:tr>
    </w:tbl>
    <w:p>
      <w:pPr>
        <w:ind w:firstLine="480"/>
        <w:rPr>
          <w:sz w:val="24"/>
        </w:rPr>
      </w:pPr>
      <w:r>
        <w:rPr>
          <w:rFonts w:hint="eastAsia"/>
          <w:sz w:val="24"/>
        </w:rPr>
        <w:t>注：以上数据提供相应证明材料。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二、试点示范建设情况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（一）街道（乡镇）情况介绍</w:t>
      </w:r>
    </w:p>
    <w:p>
      <w:pPr>
        <w:ind w:firstLine="640"/>
      </w:pPr>
      <w:r>
        <w:rPr>
          <w:rFonts w:hint="eastAsia"/>
        </w:rPr>
        <w:t>结合基本情况表，介绍街道（乡镇）基本情况。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（二）建设方案简介</w:t>
      </w:r>
    </w:p>
    <w:p>
      <w:pPr>
        <w:ind w:firstLine="640"/>
      </w:pPr>
      <w:r>
        <w:rPr>
          <w:rFonts w:hint="eastAsia"/>
        </w:rPr>
        <w:t>结合所选的应用场景及申报要求，介绍街道试点示范（乡镇）建设方案，包括建设目标、发展思路、建设内容等。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（三）信息化建设情况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信息化基础建设情况</w:t>
      </w:r>
    </w:p>
    <w:p>
      <w:pPr>
        <w:ind w:firstLine="640"/>
      </w:pPr>
      <w:r>
        <w:rPr>
          <w:rFonts w:hint="eastAsia"/>
        </w:rPr>
        <w:t>包括列在街道（乡镇）基本情况表中辖区具有的信息库、信息系统、反馈机制及其他智慧健康养老相关信息基础设施建设情况。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系统互联互通情况</w:t>
      </w:r>
    </w:p>
    <w:p>
      <w:pPr>
        <w:ind w:firstLine="640"/>
      </w:pPr>
      <w:r>
        <w:rPr>
          <w:rFonts w:hint="eastAsia"/>
        </w:rPr>
        <w:t>包括县（区）-街道（乡镇）-社区（村）平台系统信息连通情况、平台系统与其他部门（医院、公安、供电、供气、保险等）系统连通情况、平台系统与设备信息连通情况、平台系统与养老服务信息连通情况、平台系统与用户连通情况等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智慧健康养老应用情况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智慧健康养老产品应用情况</w:t>
      </w:r>
    </w:p>
    <w:p>
      <w:pPr>
        <w:ind w:firstLine="640"/>
      </w:pPr>
      <w:r>
        <w:rPr>
          <w:rFonts w:hint="eastAsia"/>
        </w:rPr>
        <w:t>结合街道（乡镇）基本情况表所涉及的产品，介绍产品的功能、覆盖用户数量、智能使用情况（使用率）、智能产品对服务质量和效率提升的情况等。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智慧健康养老服务提供情况</w:t>
      </w:r>
    </w:p>
    <w:p>
      <w:pPr>
        <w:ind w:firstLine="640"/>
      </w:pPr>
      <w:r>
        <w:rPr>
          <w:rFonts w:hint="eastAsia"/>
        </w:rPr>
        <w:t>介绍街道提供的服务内容、服务模式、服务覆盖情况、服务规范化建设、服务质量评价机制等。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（五）创新性分析</w:t>
      </w:r>
    </w:p>
    <w:p>
      <w:pPr>
        <w:ind w:firstLine="640"/>
      </w:pPr>
      <w:r>
        <w:rPr>
          <w:rFonts w:hint="eastAsia"/>
        </w:rPr>
        <w:t>建设方案在服务内容、服务模式、运营管理等方面的特色优势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六</w:t>
      </w: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建设成效分析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1.试点示范建设对丰富街道（乡镇）服务种类、提升服务质量和管理效率、深化智慧健康养老服务落地、打造服务模式说带来的益处。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2.取得的社会效益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（七）可推广性分析</w:t>
      </w:r>
    </w:p>
    <w:p>
      <w:pPr>
        <w:ind w:firstLine="640"/>
      </w:pPr>
      <w:r>
        <w:rPr>
          <w:rFonts w:hint="eastAsia"/>
        </w:rPr>
        <w:t>建设方案的</w:t>
      </w:r>
      <w:r>
        <w:t>示范意义</w:t>
      </w:r>
      <w:r>
        <w:rPr>
          <w:rFonts w:hint="eastAsia"/>
        </w:rPr>
        <w:t>、</w:t>
      </w:r>
      <w:r>
        <w:t>推广价值</w:t>
      </w:r>
      <w:r>
        <w:rPr>
          <w:rFonts w:hint="eastAsia"/>
        </w:rPr>
        <w:t>、可行性、推广范围。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三、典型案例介绍</w:t>
      </w:r>
    </w:p>
    <w:p>
      <w:pPr>
        <w:ind w:firstLine="640"/>
      </w:pPr>
      <w:r>
        <w:rPr>
          <w:rFonts w:hint="eastAsia"/>
        </w:rPr>
        <w:t>结合所选的应用场景，介绍不少于3个典型案例。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四、下一步建设计划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五、相关支撑材料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（一）已有基础建设证明材料</w:t>
      </w:r>
    </w:p>
    <w:p>
      <w:pPr>
        <w:ind w:firstLine="640"/>
      </w:pPr>
      <w:r>
        <w:rPr>
          <w:rFonts w:hint="eastAsia"/>
        </w:rPr>
        <w:t>已投入资金证明、适老化改造方案、平台系统/信息库情况证明及其他相关证明材料等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（二）建设方案质量</w:t>
      </w:r>
    </w:p>
    <w:p>
      <w:pPr>
        <w:ind w:firstLine="640"/>
      </w:pPr>
      <w:r>
        <w:rPr>
          <w:rFonts w:hint="eastAsia"/>
        </w:rPr>
        <w:t>指定的服务标准/规范等证明、所获其他奖励证明、智慧健康养老产品配备情况证明、智慧健康养老服务情况证明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（三）联合申报企业资质材料</w:t>
      </w:r>
    </w:p>
    <w:p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（四）其他资质材料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ZmZlMWI3NWU0OTVkZTMwMjQxY2M0ZjA0ZmYyNjQifQ=="/>
  </w:docVars>
  <w:rsids>
    <w:rsidRoot w:val="32525FF5"/>
    <w:rsid w:val="0D8800F9"/>
    <w:rsid w:val="11145EDF"/>
    <w:rsid w:val="1E025DE1"/>
    <w:rsid w:val="20133F41"/>
    <w:rsid w:val="32525FF5"/>
    <w:rsid w:val="37A159D2"/>
    <w:rsid w:val="42A15150"/>
    <w:rsid w:val="59BD71FE"/>
    <w:rsid w:val="78420429"/>
    <w:rsid w:val="79D833A4"/>
    <w:rsid w:val="7A9B68AB"/>
    <w:rsid w:val="7BA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2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2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eastAsia="黑体"/>
      <w:color w:val="000000" w:themeColor="text1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1631</Words>
  <Characters>1655</Characters>
  <Lines>0</Lines>
  <Paragraphs>0</Paragraphs>
  <TotalTime>3</TotalTime>
  <ScaleCrop>false</ScaleCrop>
  <LinksUpToDate>false</LinksUpToDate>
  <CharactersWithSpaces>1907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2023-03-07T09:17:00Z</dcterms:created>
  <dc:creator>疯子</dc:creator>
  <cp:lastModifiedBy>疯子</cp:lastModifiedBy>
  <dcterms:modified xsi:type="dcterms:W3CDTF">2023-03-24T07:54:18Z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24FB17C4E1484312A97A7C131E911132</vt:lpwstr>
  </property>
</Properties>
</file>