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济南市工业和信息化局等7部门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关于印发济南市促进电竞游戏产业发展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若干政策措施的通知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各区县（功能区）人民政府（管委会），市直有关部门：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经市政府同意，现将《济南市促进电竞游戏产业发展若干政策措施》印发给你们，请认真贯彻执行。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中共济南市委宣传部        济南市工业和信息化局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1059" w:firstLineChars="331"/>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济南市财政局        济南市人力资源和社会保障局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1059" w:firstLineChars="331"/>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济南市商务局            济南市文化和旅游局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459" w:firstLineChars="1706"/>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2024年4月19日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0" w:num="1"/>
          <w:rtlGutter w:val="0"/>
          <w:docGrid w:type="linesAndChars" w:linePitch="289"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济南市促进电竞游戏产业发展若干政策措施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为推动济南市电竞游戏产业快速健康发展，培育数字经济新业态，持续增</w:t>
      </w:r>
      <w:bookmarkStart w:id="0" w:name="_GoBack"/>
      <w:bookmarkEnd w:id="0"/>
      <w:r>
        <w:rPr>
          <w:rFonts w:hint="eastAsia" w:ascii="FangSong_GB2312" w:hAnsi="FangSong_GB2312" w:eastAsia="FangSong_GB2312" w:cs="FangSong_GB2312"/>
          <w:sz w:val="32"/>
          <w:szCs w:val="32"/>
        </w:rPr>
        <w:t>强我市经济发展的活力，助力打造智能经济强市和数字先锋城市，结合我市实际，制定如下政策措施。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一、完善发展载体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1.建设多层次电竞场馆。加快建设符合国际性赛事标准的大型电竞赛事专业场馆。支持有条件的区县和企业投资建设中型专业化电竞场馆。鼓励利用现有体育场馆、会展中心、剧院、网吧、国企闲置厂房等场馆、闲置空间依法改扩建中小型电竞场馆，支持各运营主体充分利用好现有设施开展电竞赛事相关活动。</w:t>
      </w:r>
      <w:r>
        <w:rPr>
          <w:rFonts w:hint="eastAsia" w:ascii="楷体_GB2312" w:hAnsi="楷体_GB2312" w:eastAsia="楷体_GB2312" w:cs="楷体_GB2312"/>
          <w:sz w:val="32"/>
          <w:szCs w:val="32"/>
        </w:rPr>
        <w:t>〔责任单位：市体育局、市文化和旅游局、市住房城乡建设局、市自然资源和规划局、各区县（功能区）〕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2.建设高水平电竞游戏产业集聚区。支持建设电竞研发、赛事运营、电竞直播、培训、衍生品开发等产业要素集聚的电竞游戏主题产业园区（基地），鼓励符合条件的电竞游戏产业园区申报小型微型企业创业创新示范基地。支持电竞游戏产业集聚区申报国家级、省级特色产业集群。</w:t>
      </w:r>
      <w:r>
        <w:rPr>
          <w:rFonts w:hint="eastAsia" w:ascii="楷体_GB2312" w:hAnsi="楷体_GB2312" w:eastAsia="楷体_GB2312" w:cs="楷体_GB2312"/>
          <w:sz w:val="32"/>
          <w:szCs w:val="32"/>
        </w:rPr>
        <w:t>〔责任单位：市体育局、</w:t>
      </w:r>
      <w:r>
        <w:rPr>
          <w:rFonts w:hint="eastAsia" w:ascii="楷体_GB2312" w:hAnsi="楷体_GB2312" w:eastAsia="楷体_GB2312" w:cs="楷体_GB2312"/>
          <w:sz w:val="32"/>
          <w:szCs w:val="32"/>
          <w:lang w:val="en-US" w:eastAsia="zh-CN"/>
        </w:rPr>
        <w:t>市工业和信息化局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市委宣传部、</w:t>
      </w:r>
      <w:r>
        <w:rPr>
          <w:rFonts w:hint="eastAsia" w:ascii="楷体_GB2312" w:hAnsi="楷体_GB2312" w:eastAsia="楷体_GB2312" w:cs="楷体_GB2312"/>
          <w:sz w:val="32"/>
          <w:szCs w:val="32"/>
        </w:rPr>
        <w:t>各区县（功能区）〕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3.建设电竞训练基地。支持校企共建电竞人才实训基地，开展赛事解说、电竞裁判、经纪管理、组织运营、转播制作等专业技能和行业规范培训，对于获评山东省新旧动能转换公共实训项目、济南市先进制造业和数字经济领域公共实训基地的，按照相关政策给予资金补助。</w:t>
      </w:r>
      <w:r>
        <w:rPr>
          <w:rFonts w:hint="eastAsia" w:ascii="楷体_GB2312" w:hAnsi="楷体_GB2312" w:eastAsia="楷体_GB2312" w:cs="楷体_GB2312"/>
          <w:sz w:val="32"/>
          <w:szCs w:val="32"/>
        </w:rPr>
        <w:t>（责任单位：市体育局、市人力资源社会保障局、市工业和信息化局）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二、加强企业引培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FF"/>
          <w:sz w:val="32"/>
          <w:szCs w:val="32"/>
        </w:rPr>
      </w:pPr>
      <w:r>
        <w:rPr>
          <w:rFonts w:hint="eastAsia" w:ascii="FangSong_GB2312" w:hAnsi="FangSong_GB2312" w:eastAsia="FangSong_GB2312" w:cs="FangSong_GB2312"/>
          <w:sz w:val="32"/>
          <w:szCs w:val="32"/>
        </w:rPr>
        <w:t>4.加强电竞游戏企业引进。大力引进国内外优秀电竞游戏制作公司、赛事运营公司、直播平台公司、短视频公司、研发机构、工作室等行业领军企业和相关机构，对在济南设立总部且符合相关条件的，按我市总部经济扶持政策规定，在办公用房、成长激励、扩大投资、人才保障等方面给予支持。</w:t>
      </w:r>
      <w:r>
        <w:rPr>
          <w:rFonts w:hint="eastAsia" w:ascii="楷体_GB2312" w:hAnsi="楷体_GB2312" w:eastAsia="楷体_GB2312" w:cs="楷体_GB2312"/>
          <w:color w:val="000000" w:themeColor="text1"/>
          <w:sz w:val="32"/>
          <w:szCs w:val="32"/>
          <w14:textFill>
            <w14:solidFill>
              <w14:schemeClr w14:val="tx1"/>
            </w14:solidFill>
          </w14:textFill>
        </w:rPr>
        <w:t>（责任单位：市工业和信息化局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市委宣传部、</w:t>
      </w:r>
      <w:r>
        <w:rPr>
          <w:rFonts w:hint="eastAsia" w:ascii="楷体_GB2312" w:hAnsi="楷体_GB2312" w:eastAsia="楷体_GB2312" w:cs="楷体_GB2312"/>
          <w:color w:val="000000" w:themeColor="text1"/>
          <w:sz w:val="32"/>
          <w:szCs w:val="32"/>
          <w14:textFill>
            <w14:solidFill>
              <w14:schemeClr w14:val="tx1"/>
            </w14:solidFill>
          </w14:textFill>
        </w:rPr>
        <w:t>市投资促进局、市发展改革委）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FF"/>
          <w:sz w:val="32"/>
          <w:szCs w:val="32"/>
        </w:rPr>
      </w:pPr>
      <w:r>
        <w:rPr>
          <w:rFonts w:hint="eastAsia" w:ascii="FangSong_GB2312" w:hAnsi="FangSong_GB2312" w:eastAsia="FangSong_GB2312" w:cs="FangSong_GB2312"/>
          <w:sz w:val="32"/>
          <w:szCs w:val="32"/>
        </w:rPr>
        <w:t>5.强化电竞游戏企业培育。支持电竞游戏企业加快壮大，支持培育电竞游戏领域创新型中小企业、专精特新、瞪羚、独角兽等优质企业，对于符合相关标准的企业按规定给予支持</w:t>
      </w:r>
      <w:r>
        <w:rPr>
          <w:rFonts w:hint="eastAsia" w:ascii="FangSong_GB2312" w:hAnsi="FangSong_GB2312" w:eastAsia="FangSong_GB2312" w:cs="FangSong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（责任单位：</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市工业和信息化局、</w:t>
      </w:r>
      <w:r>
        <w:rPr>
          <w:rFonts w:hint="eastAsia" w:ascii="楷体_GB2312" w:hAnsi="楷体_GB2312" w:eastAsia="楷体_GB2312" w:cs="楷体_GB2312"/>
          <w:color w:val="000000" w:themeColor="text1"/>
          <w:sz w:val="32"/>
          <w:szCs w:val="32"/>
          <w14:textFill>
            <w14:solidFill>
              <w14:schemeClr w14:val="tx1"/>
            </w14:solidFill>
          </w14:textFill>
        </w:rPr>
        <w:t>市文化和旅游局、市体育局）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三、鼓励创作研发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FF"/>
          <w:sz w:val="32"/>
          <w:szCs w:val="32"/>
        </w:rPr>
      </w:pPr>
      <w:r>
        <w:rPr>
          <w:rFonts w:hint="eastAsia" w:ascii="FangSong_GB2312" w:hAnsi="FangSong_GB2312" w:eastAsia="FangSong_GB2312" w:cs="FangSong_GB2312"/>
          <w:sz w:val="32"/>
          <w:szCs w:val="32"/>
        </w:rPr>
        <w:t>6.支持电竞游戏内容创作生产。鼓励企业加强电竞游戏内容创新和技术创新，重点研发符合市场需求和行业发展趋势的移动端、主机端电竞产品，鼓励研发彰显齐鲁特色、泉城韵味的地方特色游戏产品，打造弘扬社会主义核心价值观、代表先进文化发展方向、传播文明理念的原创精品力作。支持电竞游戏产品开发，对获评首版次软件产品的，按一定期限内产品实际销售总额给予研制单位不超过30%，最高200万元奖励。</w:t>
      </w:r>
      <w:r>
        <w:rPr>
          <w:rFonts w:hint="eastAsia" w:ascii="楷体_GB2312" w:hAnsi="楷体_GB2312" w:eastAsia="楷体_GB2312" w:cs="楷体_GB2312"/>
          <w:color w:val="000000" w:themeColor="text1"/>
          <w:sz w:val="32"/>
          <w:szCs w:val="32"/>
          <w14:textFill>
            <w14:solidFill>
              <w14:schemeClr w14:val="tx1"/>
            </w14:solidFill>
          </w14:textFill>
        </w:rPr>
        <w:t>（责任单位：市工业和信息化局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市文化和旅游局）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7.支持建设产业发展创新平台。支持国内外电竞游戏及相关产业研发机构落户济南。支持电竞游戏企业申报一企一技术研发中心、软件工程技术中心、企业技术中心等各类研发平台，对获批企业按政策给予支持。鼓励科技企业孵化器和众创空间孵化培育电竞产品研发、俱乐部、经纪服务、战队等类型的企业或团队，对符合条件的科技企业孵化器，按照“科创济南”政策给予扶持。</w:t>
      </w:r>
      <w:r>
        <w:rPr>
          <w:rFonts w:hint="eastAsia" w:ascii="楷体_GB2312" w:hAnsi="楷体_GB2312" w:eastAsia="楷体_GB2312" w:cs="楷体_GB2312"/>
          <w:sz w:val="32"/>
          <w:szCs w:val="32"/>
        </w:rPr>
        <w:t>（责任单位：市工业和信息化局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市发展改革委、市科技局）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四、支持赛事活动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8.积极引进高水平品牌赛事。加强与国内外电竞行业协会组织、电竞游戏领军企业对接，支持国际、国内高水平电竞赛事在济南举办，对承办赛事的市场主体，按照赛事层级、规模和实际支出，给予分档资助，每场资助金额最高不超过800万元。</w:t>
      </w:r>
      <w:r>
        <w:rPr>
          <w:rFonts w:hint="eastAsia" w:ascii="楷体_GB2312" w:hAnsi="楷体_GB2312" w:eastAsia="楷体_GB2312" w:cs="楷体_GB2312"/>
          <w:sz w:val="32"/>
          <w:szCs w:val="32"/>
        </w:rPr>
        <w:t>（责任单位：市体育局、市工业和信息化局）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9.加快培育自主品牌赛事。支持举办中小型电竞赛事和全民赛、表演赛、日常赛以及校园绿色电竞赛事，积极培育有特色、有影响力的济南自主品牌电竞赛事，构建济南自主IP品牌赛事体系。对在济南举办的发展前景好、市场价值大、有较大影响力的电竞品牌赛事，给予每场最高200万元资助。</w:t>
      </w:r>
      <w:r>
        <w:rPr>
          <w:rFonts w:hint="eastAsia" w:ascii="楷体_GB2312" w:hAnsi="楷体_GB2312" w:eastAsia="楷体_GB2312" w:cs="楷体_GB2312"/>
          <w:sz w:val="32"/>
          <w:szCs w:val="32"/>
        </w:rPr>
        <w:t>（责任单位：市体育局、市工业和信息化局）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10.举办电竞游戏周边系列活动。支持企业和机构举办电竞游戏论坛、供需对接会等产业活动。对在济南举办的电竞嘉年华展、电竞文创设计展、电竞主播赛、动漫游戏展等会展活动且符合相关条件的，按照《济南市促进会展业高质量发展的若干措施》给予奖补。</w:t>
      </w:r>
      <w:r>
        <w:rPr>
          <w:rFonts w:hint="eastAsia" w:ascii="楷体_GB2312" w:hAnsi="楷体_GB2312" w:eastAsia="楷体_GB2312" w:cs="楷体_GB2312"/>
          <w:sz w:val="32"/>
          <w:szCs w:val="32"/>
        </w:rPr>
        <w:t>（责任单位：市文化和旅游局、市体育局、市商务局）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五、推动融合发展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11.推动电竞游戏及周边产业融合发展。支持在公园、街区、园区、景区等公共空间融入电竞元素，打造一批在全国范围内具有较高影响力的高品质、重体验、地标性电竞特色场所。支持相关企业运用人工智能、虚拟现实、裸眼3D等新一代数字技术，提升电竞内容制作及传播能力。充分利用济南新一代信息技术产业、科研、人才等优质资源，带动电竞直播、经纪、资讯、培训、装备等周边产业发展。用好现有电视频道资源，支持主流媒体平台参与赛事内容制作及传播。</w:t>
      </w:r>
      <w:r>
        <w:rPr>
          <w:rFonts w:hint="eastAsia" w:ascii="楷体_GB2312" w:hAnsi="楷体_GB2312" w:eastAsia="楷体_GB2312" w:cs="楷体_GB2312"/>
          <w:sz w:val="32"/>
          <w:szCs w:val="32"/>
        </w:rPr>
        <w:t>（责任单位：市文化和旅游局、市体育局、市工业和信息化局、济南广播电视台、市商务局、市园林和林业绿化局）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六、强化人才支撑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12.加强人才培育和引进。支持电竞游戏专业人才培养，鼓励高校、职业院校通过校企合作等方式开设电竞游戏类专业，建立后备人才培养体系。制定电竞游戏人才评定办法，吸引国内外知名电竞人才和优秀原创团队在济南集聚发展。支持电竞游戏相关人才申报“海右名士”专业技术拔尖人才、市级领军人才，对符合条件的电竞游戏人才，按照我市现行的人才扶持政策给予支持。</w:t>
      </w:r>
      <w:r>
        <w:rPr>
          <w:rFonts w:hint="eastAsia" w:ascii="楷体_GB2312" w:hAnsi="楷体_GB2312" w:eastAsia="楷体_GB2312" w:cs="楷体_GB2312"/>
          <w:sz w:val="32"/>
          <w:szCs w:val="32"/>
        </w:rPr>
        <w:t>（责任单位：市教育局、市人力资源社会保障局、市体育局、市工业和信息化局）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七、营造良好环境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13.强化组织保障。建立多部门参与的电竞游戏产业发展协调配合机制，强化市区联动、部门协同，形成合力，加强政策扶持、优化资源配置、完善空间布局、加强企业培育和人才引育，抓好政策落地实施。</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责任单位：市委宣传部、</w:t>
      </w:r>
      <w:r>
        <w:rPr>
          <w:rFonts w:hint="eastAsia" w:ascii="楷体_GB2312" w:hAnsi="楷体_GB2312" w:eastAsia="楷体_GB2312" w:cs="楷体_GB2312"/>
          <w:sz w:val="32"/>
          <w:szCs w:val="32"/>
        </w:rPr>
        <w:t>市工业和信息化局、市财政局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市人力资源社会保障局、市商务局、</w:t>
      </w:r>
      <w:r>
        <w:rPr>
          <w:rFonts w:hint="eastAsia" w:ascii="楷体_GB2312" w:hAnsi="楷体_GB2312" w:eastAsia="楷体_GB2312" w:cs="楷体_GB2312"/>
          <w:sz w:val="32"/>
          <w:szCs w:val="32"/>
        </w:rPr>
        <w:t>市文化和旅游局、市体育局）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FangSong_GB2312" w:hAnsi="FangSong_GB2312" w:eastAsia="FangSong_GB2312" w:cs="FangSong_GB2312"/>
          <w:sz w:val="32"/>
          <w:szCs w:val="32"/>
        </w:rPr>
        <w:t>14.优化市场环境。加强电竞游戏领域意识形态风险研判和处置，本着鼓励创新的原则，在严守安全底线的前提下为新业态发展留足空间。加强游戏选题策划、意识形态等方面的审核管理，严格游戏出版后的监管，全面推进游戏防沉迷，保护青少年身心健康。严厉打击“黑灰”产业</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依法查处不正当竞争行为，维护公平竞争市场秩序。</w:t>
      </w:r>
      <w:r>
        <w:rPr>
          <w:rFonts w:hint="eastAsia" w:ascii="楷体_GB2312" w:hAnsi="楷体_GB2312" w:eastAsia="楷体_GB2312" w:cs="楷体_GB2312"/>
          <w:sz w:val="32"/>
          <w:szCs w:val="32"/>
        </w:rPr>
        <w:t>（责任单位：市文化和旅游局、市体育局、市教育局、市市场监管局、市公安局）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本政策自2024年</w:t>
      </w:r>
      <w:r>
        <w:rPr>
          <w:rFonts w:hint="eastAsia" w:ascii="FangSong_GB2312" w:hAnsi="FangSong_GB2312" w:eastAsia="FangSong_GB2312" w:cs="FangSong_GB2312"/>
          <w:sz w:val="32"/>
          <w:szCs w:val="32"/>
          <w:lang w:val="en-US" w:eastAsia="zh-CN"/>
        </w:rPr>
        <w:t>4</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lang w:val="en-US" w:eastAsia="zh-CN"/>
        </w:rPr>
        <w:t>19</w:t>
      </w:r>
      <w:r>
        <w:rPr>
          <w:rFonts w:hint="eastAsia" w:ascii="FangSong_GB2312" w:hAnsi="FangSong_GB2312" w:eastAsia="FangSong_GB2312" w:cs="FangSong_GB2312"/>
          <w:sz w:val="32"/>
          <w:szCs w:val="32"/>
        </w:rPr>
        <w:t>日起施行，有效期至2027年</w:t>
      </w:r>
      <w:r>
        <w:rPr>
          <w:rFonts w:hint="eastAsia" w:ascii="FangSong_GB2312" w:hAnsi="FangSong_GB2312" w:eastAsia="FangSong_GB2312" w:cs="FangSong_GB2312"/>
          <w:sz w:val="32"/>
          <w:szCs w:val="32"/>
          <w:lang w:val="en-US" w:eastAsia="zh-CN"/>
        </w:rPr>
        <w:t>4</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lang w:val="en-US" w:eastAsia="zh-CN"/>
        </w:rPr>
        <w:t>18</w:t>
      </w:r>
      <w:r>
        <w:rPr>
          <w:rFonts w:hint="eastAsia" w:ascii="FangSong_GB2312" w:hAnsi="FangSong_GB2312" w:eastAsia="FangSong_GB2312" w:cs="FangSong_GB2312"/>
          <w:sz w:val="32"/>
          <w:szCs w:val="32"/>
        </w:rPr>
        <w:t>日。政策有效期内，如遇政策调整变化的，按调整后的政策执行。同一企业同一项目符合多项政策支持条件的，按照“就高不重复”的原则给予支持。</w:t>
      </w:r>
    </w:p>
    <w:sectPr>
      <w:footerReference r:id="rId3" w:type="default"/>
      <w:pgSz w:w="11906" w:h="16838"/>
      <w:pgMar w:top="2098" w:right="1474" w:bottom="1984" w:left="1587" w:header="851" w:footer="992" w:gutter="0"/>
      <w:pgNumType w:fmt="decimal" w:start="1"/>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7661C1-4ADC-49BA-979A-ECD94AB9EA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8968350F-0665-4983-8DC8-5CA117AC6767}"/>
  </w:font>
  <w:font w:name="方正小标宋简体">
    <w:panose1 w:val="02000000000000000000"/>
    <w:charset w:val="86"/>
    <w:family w:val="auto"/>
    <w:pitch w:val="default"/>
    <w:sig w:usb0="A00002BF" w:usb1="184F6CFA" w:usb2="00000012" w:usb3="00000000" w:csb0="00040001" w:csb1="00000000"/>
    <w:embedRegular r:id="rId3" w:fontKey="{F0504E47-8CC1-43CE-8429-FA7EE9D84150}"/>
  </w:font>
  <w:font w:name="仿宋_GB2312">
    <w:panose1 w:val="02010609030101010101"/>
    <w:charset w:val="86"/>
    <w:family w:val="auto"/>
    <w:pitch w:val="default"/>
    <w:sig w:usb0="00000001" w:usb1="080E0000" w:usb2="00000000" w:usb3="00000000" w:csb0="00040000" w:csb1="00000000"/>
    <w:embedRegular r:id="rId4" w:fontKey="{03F4FFBB-2A23-4FC3-9A55-6A7D2DC4F7F3}"/>
  </w:font>
  <w:font w:name="FangSong_GB2312">
    <w:altName w:val="仿宋_GB2312"/>
    <w:panose1 w:val="02010609030101010101"/>
    <w:charset w:val="86"/>
    <w:family w:val="auto"/>
    <w:pitch w:val="default"/>
    <w:sig w:usb0="00000000" w:usb1="00000000" w:usb2="00000000" w:usb3="00000000" w:csb0="00040000" w:csb1="00000000"/>
    <w:embedRegular r:id="rId5" w:fontKey="{16DE06EE-B410-4C52-83AC-1C67941DECE0}"/>
  </w:font>
  <w:font w:name="楷体_GB2312">
    <w:panose1 w:val="02010609030101010101"/>
    <w:charset w:val="86"/>
    <w:family w:val="auto"/>
    <w:pitch w:val="default"/>
    <w:sig w:usb0="00000001" w:usb1="080E0000" w:usb2="00000000" w:usb3="00000000" w:csb0="00040000" w:csb1="00000000"/>
    <w:embedRegular r:id="rId6" w:fontKey="{2A339166-C51D-49E3-A514-F4772E7E4828}"/>
  </w:font>
  <w:font w:name="仿宋">
    <w:panose1 w:val="02010609060101010101"/>
    <w:charset w:val="86"/>
    <w:family w:val="auto"/>
    <w:pitch w:val="default"/>
    <w:sig w:usb0="800002BF" w:usb1="38CF7CFA" w:usb2="00000016" w:usb3="00000000" w:csb0="00040001" w:csb1="00000000"/>
    <w:embedRegular r:id="rId7" w:fontKey="{724B53A2-15B0-4ACD-9B55-5D19774DB2A3}"/>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210"/>
  <w:drawingGridVerticalSpacing w:val="14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GE1ZmI5Y2JkNTQ0OWMwZWMyZjAyYTQyMTE3ZjEifQ=="/>
  </w:docVars>
  <w:rsids>
    <w:rsidRoot w:val="00000000"/>
    <w:rsid w:val="06664E4C"/>
    <w:rsid w:val="0A5B2FD2"/>
    <w:rsid w:val="0BD469C2"/>
    <w:rsid w:val="0E771C9A"/>
    <w:rsid w:val="1581542C"/>
    <w:rsid w:val="18CA1CA0"/>
    <w:rsid w:val="1F937C38"/>
    <w:rsid w:val="20141151"/>
    <w:rsid w:val="217F0425"/>
    <w:rsid w:val="28A075FF"/>
    <w:rsid w:val="2DD92075"/>
    <w:rsid w:val="34FC399A"/>
    <w:rsid w:val="37A0650D"/>
    <w:rsid w:val="38544ADE"/>
    <w:rsid w:val="3A151185"/>
    <w:rsid w:val="3CFD284C"/>
    <w:rsid w:val="3E371A14"/>
    <w:rsid w:val="3FEC2CD2"/>
    <w:rsid w:val="47977DAF"/>
    <w:rsid w:val="495B7394"/>
    <w:rsid w:val="4E1F3515"/>
    <w:rsid w:val="54B85EE2"/>
    <w:rsid w:val="55280C6E"/>
    <w:rsid w:val="5D7C7050"/>
    <w:rsid w:val="623B7168"/>
    <w:rsid w:val="62B37BEF"/>
    <w:rsid w:val="634D1881"/>
    <w:rsid w:val="64C733E3"/>
    <w:rsid w:val="67396D77"/>
    <w:rsid w:val="68CD1043"/>
    <w:rsid w:val="6B5143E2"/>
    <w:rsid w:val="71152CAD"/>
    <w:rsid w:val="7C06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2024-04-10T06:27:00Z</dcterms:created>
  <dc:creator>Administrator</dc:creator>
  <cp:lastModifiedBy>琰朵。</cp:lastModifiedBy>
  <cp:lastPrinted>2024-04-24T08:18:56Z</cp:lastPrinted>
  <dcterms:modified xsi:type="dcterms:W3CDTF">2024-04-24T08:50:39Z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F6A5691845984D578E97322928BC5704_12</vt:lpwstr>
  </property>
</Properties>
</file>