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济南市工业互联网标识解析应用标杆项目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要素条件</w:t>
      </w: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工业互联网标识解析体系是工业互联网网络体系的重要组成部分，是支撑工业互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</w:rPr>
        <w:t>联网互联互通的神经中枢，其核心包括标识编码、标识解析系统和标识数据服务。</w:t>
      </w:r>
    </w:p>
    <w:p>
      <w:pPr>
        <w:spacing w:line="60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一、应用数据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1.标识注册解析量：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通过工业互联网标识解析国家顶级节点、工业互联网标识解析二级节点与企业节点的对接，实</w:t>
      </w:r>
      <w:r>
        <w:rPr>
          <w:rFonts w:hint="eastAsia" w:ascii="仿宋_GB2312" w:hAnsi="Times New Roman" w:eastAsia="仿宋_GB2312"/>
          <w:sz w:val="32"/>
          <w:szCs w:val="32"/>
        </w:rPr>
        <w:t>现实时数据同步和解析服务，标识解析应用企业</w:t>
      </w:r>
      <w:r>
        <w:rPr>
          <w:rFonts w:hint="eastAsia" w:ascii="仿宋_GB2312" w:hAnsi="仿宋_GB2312" w:eastAsia="仿宋_GB2312" w:cs="仿宋_GB2312"/>
          <w:bCs/>
          <w:sz w:val="32"/>
        </w:rPr>
        <w:t>商业模式清晰，具备一定的标识解析注册量、标识解析量等应用规模。</w:t>
      </w:r>
    </w:p>
    <w:p>
      <w:pPr>
        <w:spacing w:line="60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2.企业节点数量：</w:t>
      </w:r>
      <w:r>
        <w:rPr>
          <w:rFonts w:hint="eastAsia" w:ascii="仿宋_GB2312" w:hAnsi="Times New Roman" w:eastAsia="仿宋_GB2312"/>
          <w:sz w:val="32"/>
          <w:szCs w:val="32"/>
        </w:rPr>
        <w:t>二级节点企业需具备辐射、带动其上下游企业接入标识解析体系的能力，接入其二级节点的企业节点数量应具备一定规模。</w:t>
      </w:r>
    </w:p>
    <w:p>
      <w:pPr>
        <w:spacing w:line="60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二、应用水平</w:t>
      </w:r>
    </w:p>
    <w:p>
      <w:pPr>
        <w:spacing w:line="60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1.标识注册能力：</w:t>
      </w:r>
      <w:r>
        <w:rPr>
          <w:rFonts w:hint="eastAsia" w:ascii="仿宋_GB2312" w:hAnsi="Times New Roman" w:eastAsia="仿宋_GB2312"/>
          <w:sz w:val="32"/>
          <w:szCs w:val="32"/>
        </w:rPr>
        <w:t>可构建完善的标识统一编码注册管理系统，包括标识编码及标识数据管理能力。综合考虑标识对象、标识对象属性等要素，设计适用于企业的标识对象分类、标识编码方案及规则、标识主数据模版等，并可依据标识编码方案完成标识码的在国家节点的分配、注册、备案等服务。</w:t>
      </w:r>
    </w:p>
    <w:p>
      <w:pPr>
        <w:spacing w:line="600" w:lineRule="exact"/>
        <w:ind w:firstLine="643" w:firstLineChars="200"/>
        <w:rPr>
          <w:rFonts w:ascii="仿宋_GB2312" w:hAnsi="仿宋" w:eastAsia="仿宋_GB2312" w:cs="Segoe UI"/>
          <w:bCs/>
          <w:color w:val="0D0D0D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2.数据采集能力：</w:t>
      </w:r>
      <w:r>
        <w:rPr>
          <w:rFonts w:hint="eastAsia" w:ascii="仿宋_GB2312" w:hAnsi="Times New Roman" w:eastAsia="仿宋_GB2312"/>
          <w:sz w:val="32"/>
          <w:szCs w:val="32"/>
        </w:rPr>
        <w:t>可通</w:t>
      </w:r>
      <w:r>
        <w:rPr>
          <w:rFonts w:hint="eastAsia" w:ascii="仿宋_GB2312" w:hAnsi="仿宋" w:eastAsia="仿宋_GB2312" w:cs="Segoe UI"/>
          <w:bCs/>
          <w:color w:val="0D0D0D"/>
          <w:sz w:val="32"/>
          <w:szCs w:val="32"/>
        </w:rPr>
        <w:t>过条码、二维码、射频电子标签等被动标识技术或物联网卡、传感器、通信模组、网关等主动标识技术对机器、原材料、产品、零部件等物理资源以及工艺、算法、数据等虚拟资源的身份进行自动识别和数据采集。</w:t>
      </w:r>
    </w:p>
    <w:p>
      <w:pPr>
        <w:spacing w:line="600" w:lineRule="exact"/>
        <w:ind w:firstLine="643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3.数据处理能力：</w:t>
      </w:r>
      <w:r>
        <w:rPr>
          <w:rFonts w:hint="eastAsia" w:ascii="仿宋_GB2312" w:hAnsi="Times New Roman" w:eastAsia="仿宋_GB2312"/>
          <w:sz w:val="32"/>
          <w:szCs w:val="32"/>
        </w:rPr>
        <w:t>依托企业标识解析系统实现零件原料、</w:t>
      </w:r>
      <w:r>
        <w:rPr>
          <w:rFonts w:hint="eastAsia" w:ascii="仿宋_GB2312" w:eastAsia="仿宋_GB2312"/>
          <w:sz w:val="32"/>
          <w:szCs w:val="32"/>
        </w:rPr>
        <w:t>产品设备、过程流程、产业资源等不同层次的数据互通，互通数据包括但不限于</w:t>
      </w:r>
      <w:r>
        <w:rPr>
          <w:rFonts w:hint="eastAsia" w:ascii="仿宋_GB2312" w:hAnsi="Times New Roman" w:eastAsia="仿宋_GB2312"/>
          <w:color w:val="0D0D0D"/>
          <w:sz w:val="32"/>
          <w:szCs w:val="32"/>
        </w:rPr>
        <w:t>产品、设备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数据、环境数据、资源数据等，通过采集、汇聚、传输、处理机制，实现数据的流通和赋能。</w:t>
      </w:r>
    </w:p>
    <w:p>
      <w:pPr>
        <w:spacing w:line="600" w:lineRule="exact"/>
        <w:ind w:firstLine="643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4.数据标准化能力：</w:t>
      </w:r>
      <w:r>
        <w:rPr>
          <w:rFonts w:hint="eastAsia" w:ascii="仿宋_GB2312" w:hAnsi="Times New Roman" w:eastAsia="仿宋_GB2312"/>
          <w:sz w:val="32"/>
          <w:szCs w:val="32"/>
        </w:rPr>
        <w:t>企业节点应用二级节点提供的行业、领域等数据标准规范及模版，为上下游企业数据互联互通提供元数据一致性的通路和基础。</w:t>
      </w:r>
    </w:p>
    <w:p>
      <w:pPr>
        <w:spacing w:line="600" w:lineRule="exact"/>
        <w:ind w:firstLine="643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5.主动标识技术结合能力：</w:t>
      </w:r>
      <w:r>
        <w:rPr>
          <w:rFonts w:hint="eastAsia" w:ascii="仿宋_GB2312" w:hAnsi="Times New Roman" w:eastAsia="仿宋_GB2312"/>
          <w:sz w:val="32"/>
          <w:szCs w:val="32"/>
        </w:rPr>
        <w:t>可将工业互联网标识赋予带有通信能力的设备终端，作为其唯一数字身份，自动向标识解析体系发起标识解析请求，完成终端寻址、身份验证、指令下发、数据上报等操作，实现同一主体和多个主体终端数据访问及数据共享，并探索结合主动标识的设备运行监测、设备认证、监管等应用模式及场景。</w:t>
      </w:r>
    </w:p>
    <w:p>
      <w:pPr>
        <w:spacing w:line="60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三、应用场景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企业通过不断挖掘标识解析基础设施与行业痛点需求的结合点，积极探索兼具示范效应和推广价值的应用场景和模式，如：</w:t>
      </w:r>
    </w:p>
    <w:p>
      <w:pPr>
        <w:spacing w:line="600" w:lineRule="exact"/>
        <w:ind w:firstLine="643" w:firstLineChars="200"/>
        <w:rPr>
          <w:rFonts w:ascii="仿宋_GB2312" w:hAnsi="Times New Roman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000000"/>
          <w:sz w:val="32"/>
          <w:szCs w:val="32"/>
        </w:rPr>
        <w:t>1.标识解析+全生命周期优化：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在产品设计、生产、经销、运行、使用、维修保养、直到回收再用处置过程中，基于标识解析统一编码规范，实现全生命周期管理数据交互，将各环节数据串联并挖掘利用，为产品优化、运维决策等提供支撑。</w:t>
      </w:r>
    </w:p>
    <w:p>
      <w:pPr>
        <w:spacing w:line="600" w:lineRule="exact"/>
        <w:ind w:firstLine="643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000000"/>
          <w:sz w:val="32"/>
          <w:szCs w:val="32"/>
        </w:rPr>
        <w:t>2.标识解析+产品精益化管理：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产品流通环节复杂，通过产品赋码和标识解析，可以打通产品流通上下游不同企业的数据链，实现覆盖生产制造、全生命周期管理、供应链的数据贯通，提升决策效率，实现更加精准与透明的管理。</w:t>
      </w:r>
    </w:p>
    <w:p>
      <w:pPr>
        <w:pStyle w:val="5"/>
        <w:ind w:firstLine="420"/>
        <w:rPr>
          <w:rFonts w:ascii="仿宋_GB2312" w:hAnsi="Times New Roman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000000"/>
          <w:sz w:val="32"/>
          <w:szCs w:val="32"/>
        </w:rPr>
        <w:t>3.标识解析+服务化延伸：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在生产、物流、维修等环节，基于标识解析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自动获取原材料、在制品和产品的相关信息，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结合数据治理，提供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现有服务产品线，提供产品预测性维护、智能运维等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创新服务，从销售产品拓展到优化服务，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实现服务增值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000000"/>
          <w:sz w:val="32"/>
          <w:szCs w:val="32"/>
        </w:rPr>
        <w:t>4.标识解析+设备运维管理：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基于标识解析自动获取设备工作参数、环境参数、产品质量数据等信息，为智慧运行系统机理模型和数理模型提供完整、高质量的实时和历史样本数据，建立设备性能模型，对设备状态与效能进行数据分析，提高设备利用率。</w:t>
      </w:r>
    </w:p>
    <w:p>
      <w:pPr>
        <w:spacing w:line="600" w:lineRule="exact"/>
        <w:ind w:firstLine="643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000000"/>
          <w:sz w:val="32"/>
          <w:szCs w:val="32"/>
        </w:rPr>
        <w:t>6.标识解析+供应链优化：</w:t>
      </w:r>
      <w:r>
        <w:rPr>
          <w:rFonts w:hint="eastAsia" w:ascii="仿宋_GB2312" w:hAnsi="仿宋_GB2312" w:eastAsia="仿宋_GB2312" w:cs="仿宋_GB2312"/>
          <w:sz w:val="32"/>
          <w:szCs w:val="32"/>
        </w:rPr>
        <w:t>标识解析跨企业、跨区域数据共享的能力，能够打通产业链上下游销售通道，为供给侧和需求侧提供精准对接的桥梁。通过标识解析将企业业务管理与流动管理有效结合起来，通过改善供应链准交率、供货速度、库存周转率等流动性指标，来改善企业的经营效果、降低经营成本、降低断链风险。</w:t>
      </w:r>
    </w:p>
    <w:p>
      <w:pPr>
        <w:spacing w:line="600" w:lineRule="exact"/>
        <w:ind w:firstLine="643" w:firstLineChars="200"/>
        <w:rPr>
          <w:rFonts w:ascii="仿宋_GB2312" w:hAnsi="Times New Roman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000000"/>
          <w:sz w:val="32"/>
          <w:szCs w:val="32"/>
        </w:rPr>
        <w:t>5.标识解析+智能化生产管控：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在生产、运输、检测等环节中，通过识别统一标识编码，自动获取原材料、制品、成品过程中的参数等信息，实现更加高效、灵活、智能、精准的参数配置、设备操控、工艺关联、问题分析等应用，助力生产智能化效率提升。</w:t>
      </w:r>
    </w:p>
    <w:p>
      <w:pPr>
        <w:spacing w:line="600" w:lineRule="exact"/>
        <w:ind w:firstLine="643" w:firstLineChars="200"/>
        <w:rPr>
          <w:rFonts w:ascii="仿宋_GB2312" w:hAnsi="Times New Roman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000000"/>
          <w:sz w:val="32"/>
          <w:szCs w:val="32"/>
        </w:rPr>
        <w:t>7. 标识解析+数字化交付：</w:t>
      </w:r>
      <w:r>
        <w:rPr>
          <w:rFonts w:hint="eastAsia" w:ascii="仿宋_GB2312" w:hAnsi="仿宋_GB2312" w:eastAsia="仿宋_GB2312" w:cs="仿宋_GB2312"/>
          <w:sz w:val="32"/>
          <w:szCs w:val="32"/>
        </w:rPr>
        <w:t>基于标识解析的数字化交付模式，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统一的信息规范体系使交付信息完整、可溯、可延伸，解决不同主体企业间交付初始化数据难的问题，通过打通供应、制造、运营、维保环节信息流，数据统一化、规范化有利于精细化运营管理能力提升。</w:t>
      </w:r>
    </w:p>
    <w:p>
      <w:pPr>
        <w:widowControl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000000"/>
          <w:sz w:val="32"/>
          <w:szCs w:val="32"/>
        </w:rPr>
        <w:t>8. 标识解析+供应链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金融管理：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基于统一标识规范的发票、业务、交易数据为质押申请贷款、承兑汇票，通过标识解析路径实现不同主体间数据的互通，分布式特性保证数据真实可信，通过资金流、单据流、信息流的融通，为企业资金周转提供有效可靠的解决路径。</w:t>
      </w:r>
    </w:p>
    <w:p>
      <w:pPr>
        <w:widowControl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000000"/>
          <w:sz w:val="32"/>
          <w:szCs w:val="32"/>
        </w:rPr>
        <w:t>9.标识解析+数字化智能营销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向生产制造行业，产品进入流通领域后，在统一编码规范基础上，通过标识解析基础设施获取运营数据、消费数据，便利企业与消费者、与渠道的直接联系，赋能企业搭建线上营销闭环；并通过标识大数据，获取市场准确的实时的动销数据，辅助企业开展市场策略。</w:t>
      </w:r>
    </w:p>
    <w:p>
      <w:pPr>
        <w:spacing w:line="60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四、应用成效</w:t>
      </w:r>
    </w:p>
    <w:p>
      <w:pPr>
        <w:spacing w:line="600" w:lineRule="exact"/>
        <w:ind w:firstLine="643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1.创新性：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应用场景对行业有创新意义，可为行业开辟新发展思路和模式，采用支持标识解析的新型网络终端，</w:t>
      </w:r>
      <w:r>
        <w:rPr>
          <w:rFonts w:ascii="仿宋_GB2312" w:hAnsi="Times New Roman" w:eastAsia="仿宋_GB2312"/>
          <w:color w:val="000000"/>
          <w:sz w:val="32"/>
          <w:szCs w:val="32"/>
        </w:rPr>
        <w:t>促进工业互联网各软硬件间的数据互通和资源共享，从行业企业、产业集群、到区域协同，让数据按需共享，合理流转，激发数据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确权化、资源化的创新</w:t>
      </w:r>
      <w:r>
        <w:rPr>
          <w:rFonts w:ascii="仿宋_GB2312" w:hAnsi="Times New Roman" w:eastAsia="仿宋_GB2312"/>
          <w:color w:val="000000"/>
          <w:sz w:val="32"/>
          <w:szCs w:val="32"/>
        </w:rPr>
        <w:t>应用。</w:t>
      </w:r>
    </w:p>
    <w:p>
      <w:pPr>
        <w:spacing w:line="600" w:lineRule="exact"/>
        <w:ind w:firstLine="643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2.可推广性：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应用场景对于解决行业共性痛点及问题有普适性参考价值，或标识应用示范模式和技术产品制定成标准，对相关行业或企业具有较强借鉴意义，可复制推广。</w:t>
      </w:r>
    </w:p>
    <w:p>
      <w:pPr>
        <w:spacing w:line="600" w:lineRule="exact"/>
        <w:ind w:firstLine="643" w:firstLineChars="200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3.应用价值：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通过标识应用，对企业内部可实现提质增效，降本节能等经济和社会价值；对企业外部可打通产业链上下游，实现异构异主异地数据的互通，促进企业协作降低企业间沟通成本、实现资源优化配置等，助力产业良性、高质量发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B0BB8"/>
    <w:rsid w:val="03E3355C"/>
    <w:rsid w:val="124863BF"/>
    <w:rsid w:val="149F7B56"/>
    <w:rsid w:val="181B2E1C"/>
    <w:rsid w:val="182D65B9"/>
    <w:rsid w:val="18C97BC1"/>
    <w:rsid w:val="1AA7263A"/>
    <w:rsid w:val="1F9B0BB8"/>
    <w:rsid w:val="21A91D49"/>
    <w:rsid w:val="35053BD0"/>
    <w:rsid w:val="418D46C1"/>
    <w:rsid w:val="42E023B9"/>
    <w:rsid w:val="499C36FA"/>
    <w:rsid w:val="4A3729E1"/>
    <w:rsid w:val="4A666387"/>
    <w:rsid w:val="4C012BBE"/>
    <w:rsid w:val="4EAF50E4"/>
    <w:rsid w:val="534A1BAA"/>
    <w:rsid w:val="56260C59"/>
    <w:rsid w:val="57747BEF"/>
    <w:rsid w:val="57D2412A"/>
    <w:rsid w:val="58352911"/>
    <w:rsid w:val="5D316A4A"/>
    <w:rsid w:val="5E10286A"/>
    <w:rsid w:val="5E5B12F6"/>
    <w:rsid w:val="5F8F74AA"/>
    <w:rsid w:val="65A64194"/>
    <w:rsid w:val="726F6D4C"/>
    <w:rsid w:val="744347D4"/>
    <w:rsid w:val="7A724D04"/>
    <w:rsid w:val="7CE53EAD"/>
    <w:rsid w:val="7E453AB3"/>
    <w:rsid w:val="7EE14B4A"/>
    <w:rsid w:val="7F2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方正小标宋_GBK" w:hAnsi="方正小标宋_GBK"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="50" w:beforeLines="50" w:beforeAutospacing="0" w:after="50" w:afterLines="50" w:afterAutospacing="0" w:line="240" w:lineRule="auto"/>
      <w:outlineLvl w:val="1"/>
    </w:pPr>
    <w:rPr>
      <w:rFonts w:ascii="方正黑体_GBK" w:hAnsi="方正黑体_GBK" w:eastAsia="方正黑体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="25" w:beforeLines="25" w:beforeAutospacing="0" w:after="25" w:afterLines="25" w:afterAutospacing="0" w:line="240" w:lineRule="auto"/>
      <w:outlineLvl w:val="2"/>
    </w:pPr>
    <w:rPr>
      <w:rFonts w:ascii="方正楷体_GBK" w:hAnsi="方正楷体_GBK" w:eastAsia="方正楷体_GBK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3"/>
    <w:pPr>
      <w:jc w:val="left"/>
    </w:pPr>
    <w:rPr>
      <w:rFonts w:ascii="楷体_GB2312" w:eastAsia="楷体_GB2312"/>
    </w:rPr>
  </w:style>
  <w:style w:type="paragraph" w:customStyle="1" w:styleId="8">
    <w:name w:val="正文-标题1格式"/>
    <w:basedOn w:val="1"/>
    <w:next w:val="1"/>
    <w:qFormat/>
    <w:uiPriority w:val="0"/>
    <w:pPr>
      <w:keepNext/>
      <w:keepLines/>
      <w:spacing w:beforeLines="0" w:afterLines="0" w:line="576" w:lineRule="auto"/>
      <w:jc w:val="both"/>
      <w:outlineLvl w:val="0"/>
    </w:pPr>
    <w:rPr>
      <w:rFonts w:hint="eastAsia" w:ascii="方正小标宋_GBK" w:hAnsi="方正小标宋_GBK" w:eastAsia="方正小标宋_GBK"/>
      <w:b/>
      <w:kern w:val="44"/>
      <w:sz w:val="44"/>
    </w:rPr>
  </w:style>
  <w:style w:type="paragraph" w:customStyle="1" w:styleId="9">
    <w:name w:val="正文-1级标题"/>
    <w:basedOn w:val="1"/>
    <w:next w:val="1"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0">
    <w:name w:val="正文-大标题"/>
    <w:basedOn w:val="1"/>
    <w:next w:val="1"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1">
    <w:name w:val="公文-1级标题"/>
    <w:basedOn w:val="1"/>
    <w:next w:val="1"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黑体"/>
      <w:kern w:val="44"/>
      <w:sz w:val="32"/>
    </w:rPr>
  </w:style>
  <w:style w:type="paragraph" w:customStyle="1" w:styleId="12">
    <w:name w:val="公文-大标题"/>
    <w:basedOn w:val="1"/>
    <w:next w:val="1"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3">
    <w:name w:val="公文-2级标题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楷体"/>
      <w:kern w:val="44"/>
      <w:sz w:val="32"/>
    </w:rPr>
  </w:style>
  <w:style w:type="paragraph" w:customStyle="1" w:styleId="14">
    <w:name w:val="公文-正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仿宋_GB2312"/>
      <w:kern w:val="44"/>
      <w:sz w:val="32"/>
    </w:rPr>
  </w:style>
  <w:style w:type="paragraph" w:customStyle="1" w:styleId="15">
    <w:name w:val="1级标题-公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黑体"/>
      <w:kern w:val="44"/>
    </w:rPr>
  </w:style>
  <w:style w:type="paragraph" w:customStyle="1" w:styleId="16">
    <w:name w:val="0级标题-公文"/>
    <w:basedOn w:val="1"/>
    <w:next w:val="1"/>
    <w:qFormat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7">
    <w:name w:val="2级标题-公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楷体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2024-07-04T07:53:00Z</dcterms:created>
  <dc:creator>既已选择、誓不言悔</dc:creator>
  <cp:lastModifiedBy>既已选择、誓不言悔</cp:lastModifiedBy>
  <dcterms:modified xsi:type="dcterms:W3CDTF">2024-07-04T07:54:03Z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00C3D1F6A6404853882760B710DFDAB5</vt:lpwstr>
  </property>
</Properties>
</file>