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bidi="th-TH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th-TH"/>
        </w:rPr>
        <w:t>1</w:t>
      </w:r>
    </w:p>
    <w:p>
      <w:pPr>
        <w:tabs>
          <w:tab w:val="left" w:pos="5220"/>
        </w:tabs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adjustRightInd w:val="0"/>
        <w:snapToGrid w:val="0"/>
        <w:jc w:val="center"/>
        <w:rPr>
          <w:rFonts w:hint="eastAsia" w:ascii="方正小标宋_GBK" w:hAnsi="文星标宋" w:eastAsia="方正小标宋_GBK"/>
          <w:sz w:val="52"/>
          <w:szCs w:val="52"/>
        </w:rPr>
      </w:pPr>
      <w:r>
        <w:rPr>
          <w:rFonts w:hint="eastAsia" w:ascii="方正小标宋_GBK" w:hAnsi="文星标宋" w:eastAsia="方正小标宋_GBK"/>
          <w:sz w:val="52"/>
          <w:szCs w:val="52"/>
        </w:rPr>
        <w:t>2022年</w:t>
      </w:r>
      <w:r>
        <w:rPr>
          <w:rFonts w:hint="eastAsia" w:ascii="方正小标宋_GBK" w:hAnsi="文星标宋" w:eastAsia="方正小标宋_GBK"/>
          <w:sz w:val="52"/>
          <w:szCs w:val="52"/>
          <w:lang w:eastAsia="zh-CN"/>
        </w:rPr>
        <w:t>星级上云企业</w:t>
      </w:r>
      <w:r>
        <w:rPr>
          <w:rFonts w:hint="eastAsia" w:ascii="方正小标宋_GBK" w:hAnsi="文星标宋" w:eastAsia="方正小标宋_GBK"/>
          <w:sz w:val="52"/>
          <w:szCs w:val="52"/>
        </w:rPr>
        <w:t>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rPr>
          <w:rFonts w:ascii="Times New Roman" w:hAnsi="Times New Roman" w:eastAsia="黑体"/>
          <w:color w:val="000000"/>
          <w:sz w:val="32"/>
        </w:rPr>
      </w:pPr>
    </w:p>
    <w:p>
      <w:pPr>
        <w:rPr>
          <w:rFonts w:ascii="Times New Roman" w:hAnsi="Times New Roman" w:eastAsia="黑体"/>
          <w:color w:val="000000"/>
          <w:sz w:val="32"/>
        </w:rPr>
      </w:pPr>
    </w:p>
    <w:p>
      <w:pPr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  <w:sz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 xml:space="preserve">项   目   名    称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  <w:t xml:space="preserve">                               </w:t>
      </w:r>
    </w:p>
    <w:p>
      <w:pP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申 报 单 位（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盖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章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  <w:t xml:space="preserve">                                </w:t>
      </w:r>
    </w:p>
    <w:p>
      <w:pP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推 荐 单 位（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盖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章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  <w:t xml:space="preserve">                                </w:t>
      </w:r>
    </w:p>
    <w:p>
      <w:pP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申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报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32"/>
        </w:rPr>
        <w:t xml:space="preserve">期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tabs>
          <w:tab w:val="left" w:pos="5220"/>
        </w:tabs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tabs>
          <w:tab w:val="left" w:pos="5220"/>
        </w:tabs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hint="eastAsia" w:asciiTheme="minorEastAsia" w:hAnsiTheme="minorEastAsia" w:eastAsiaTheme="minorEastAsia" w:cstheme="minorEastAsia"/>
          <w:color w:val="000000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000000"/>
          <w:sz w:val="40"/>
          <w:szCs w:val="40"/>
        </w:rPr>
        <w:t>济南市工业和信息化局编制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spacing w:after="156" w:afterLines="50"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</w:t>
      </w:r>
      <w:r>
        <w:rPr>
          <w:rFonts w:hint="eastAsia" w:ascii="宋体" w:hAnsi="宋体"/>
          <w:b/>
          <w:sz w:val="28"/>
          <w:szCs w:val="28"/>
          <w:lang w:eastAsia="zh-CN"/>
        </w:rPr>
        <w:t>写</w:t>
      </w:r>
      <w:r>
        <w:rPr>
          <w:rFonts w:hint="eastAsia" w:ascii="宋体" w:hAnsi="宋体"/>
          <w:b/>
          <w:sz w:val="28"/>
          <w:szCs w:val="28"/>
        </w:rPr>
        <w:t>说明</w:t>
      </w:r>
    </w:p>
    <w:p>
      <w:pPr>
        <w:spacing w:after="156" w:afterLines="50" w:line="4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1、本申请表由济南市工业和信息化局统一编制。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2、填写本申请表时，一律用宋体、小四号字体填写。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3、申请企业需要准备提交的材料包括申请表及配套证明材料（胶装成册）。请按要求在申请表上统一加盖公章。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4、如有任何疑问，可致电或发送电子邮件咨询。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申报单位责任声明</w:t>
      </w:r>
    </w:p>
    <w:p>
      <w:pPr>
        <w:pStyle w:val="2"/>
        <w:rPr>
          <w:color w:val="000000"/>
        </w:rPr>
      </w:pP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根</w:t>
      </w:r>
      <w:r>
        <w:rPr>
          <w:rFonts w:hint="eastAsia" w:ascii="仿宋_GB2312" w:eastAsia="仿宋_GB2312"/>
          <w:color w:val="000000"/>
          <w:sz w:val="32"/>
          <w:szCs w:val="32"/>
        </w:rPr>
        <w:t>据《关于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color w:val="000000"/>
          <w:sz w:val="32"/>
          <w:szCs w:val="32"/>
        </w:rPr>
        <w:t>2022年度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星级上云企业遴选的通知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要求，我单位提交了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申报材料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参评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eastAsia="zh-CN"/>
        </w:rPr>
        <w:t>星级上云企业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郑重做出如下承诺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1.我单位对提供的申报项目全部资料的真实性、</w:t>
      </w:r>
      <w:r>
        <w:rPr>
          <w:rFonts w:hint="eastAsia" w:ascii="仿宋_GB2312" w:eastAsia="仿宋_GB2312"/>
          <w:color w:val="000000"/>
          <w:sz w:val="32"/>
          <w:szCs w:val="32"/>
        </w:rPr>
        <w:t>合法性、完整性、准确性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负责。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2.我单位申报项目内容符合国家有关法律法规及相关产业政策要求。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3.我单位企业信用状况良好，未被列入失信联合惩戒对象名单。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4．我单位不属于《关于建立财政涉企资金“绿色门槛”制度的实施意见》（鲁财资环〔2019〕11号）规定的不予支持范围。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5.我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单位一年内未发生较大及以上生产安全</w:t>
      </w:r>
      <w:r>
        <w:rPr>
          <w:rFonts w:hint="eastAsia" w:ascii="仿宋_GB2312" w:eastAsia="仿宋_GB2312"/>
          <w:color w:val="000000"/>
          <w:sz w:val="32"/>
          <w:szCs w:val="32"/>
        </w:rPr>
        <w:t>责任事故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,或一年内不超过3起及以上造成人员死亡的一般生产安全责任事故,无瞒报、谎报、迟报生产安全事故等行为。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6.我单位对所提交的项目内容负有保密责任，按照国家相关保密规定，所提交的项目内容未涉及国家秘密、个人信息和其他敏感信息。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我单位对违反上述声明导致的后果承担全部法律责任。</w:t>
      </w:r>
    </w:p>
    <w:p>
      <w:pPr>
        <w:spacing w:line="500" w:lineRule="exact"/>
        <w:ind w:firstLine="4320" w:firstLineChars="135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法定代表人：（签字）</w:t>
      </w:r>
    </w:p>
    <w:p>
      <w:pPr>
        <w:spacing w:line="500" w:lineRule="exact"/>
        <w:ind w:firstLine="4320" w:firstLineChars="135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公司（企业盖章）</w:t>
      </w:r>
    </w:p>
    <w:p>
      <w:pPr>
        <w:spacing w:line="500" w:lineRule="exact"/>
        <w:ind w:firstLine="640" w:firstLineChars="200"/>
        <w:jc w:val="righ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 xml:space="preserve">年  </w:t>
      </w:r>
      <w:r>
        <w:rPr>
          <w:rFonts w:ascii="Times New Roman" w:hAnsi="Times New Roman" w:eastAsia="仿宋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"/>
          <w:color w:val="000000"/>
          <w:sz w:val="32"/>
          <w:szCs w:val="32"/>
        </w:rPr>
        <w:t>日</w:t>
      </w:r>
    </w:p>
    <w:p>
      <w:pPr>
        <w:spacing w:after="156" w:afterLines="50" w:line="420" w:lineRule="exact"/>
        <w:jc w:val="center"/>
        <w:rPr>
          <w:rFonts w:hint="eastAsia" w:ascii="Times New Roman" w:hAnsi="Times New Roman" w:eastAsia="宋体"/>
          <w:b/>
          <w:iCs/>
          <w:sz w:val="32"/>
          <w:szCs w:val="36"/>
          <w:lang w:eastAsia="zh-CN"/>
        </w:rPr>
      </w:pPr>
      <w:r>
        <w:rPr>
          <w:rFonts w:hint="eastAsia" w:ascii="Times New Roman" w:hAnsi="Times New Roman" w:eastAsia="宋体"/>
          <w:b/>
          <w:iCs/>
          <w:sz w:val="32"/>
          <w:szCs w:val="36"/>
          <w:lang w:eastAsia="zh-CN"/>
        </w:rPr>
        <w:t>企业及上云基本信息表</w:t>
      </w:r>
    </w:p>
    <w:tbl>
      <w:tblPr>
        <w:tblStyle w:val="11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265"/>
        <w:gridCol w:w="1095"/>
        <w:gridCol w:w="1184"/>
        <w:gridCol w:w="904"/>
        <w:gridCol w:w="1114"/>
        <w:gridCol w:w="262"/>
        <w:gridCol w:w="633"/>
        <w:gridCol w:w="1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</w:t>
            </w:r>
          </w:p>
        </w:tc>
        <w:tc>
          <w:tcPr>
            <w:tcW w:w="1265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中文名称</w:t>
            </w:r>
          </w:p>
        </w:tc>
        <w:tc>
          <w:tcPr>
            <w:tcW w:w="6839" w:type="dxa"/>
            <w:gridSpan w:val="7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2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企业所属国民经济行业分类名称以及代码</w:t>
            </w:r>
          </w:p>
        </w:tc>
        <w:tc>
          <w:tcPr>
            <w:tcW w:w="2280" w:type="dxa"/>
            <w:gridSpan w:val="2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注册地址</w:t>
            </w:r>
          </w:p>
        </w:tc>
        <w:tc>
          <w:tcPr>
            <w:tcW w:w="6839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注册资金（万元）</w:t>
            </w:r>
          </w:p>
        </w:tc>
        <w:tc>
          <w:tcPr>
            <w:tcW w:w="1647" w:type="dxa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095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电话</w:t>
            </w:r>
          </w:p>
        </w:tc>
        <w:tc>
          <w:tcPr>
            <w:tcW w:w="2542" w:type="dxa"/>
            <w:gridSpan w:val="3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095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542" w:type="dxa"/>
            <w:gridSpan w:val="3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8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</w:t>
            </w:r>
          </w:p>
        </w:tc>
        <w:tc>
          <w:tcPr>
            <w:tcW w:w="2542" w:type="dxa"/>
            <w:gridSpan w:val="3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42" w:type="dxa"/>
            <w:gridSpan w:val="3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企业规模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使用云服务人员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542" w:type="dxa"/>
            <w:gridSpan w:val="3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申请评定星级</w:t>
            </w:r>
          </w:p>
        </w:tc>
        <w:tc>
          <w:tcPr>
            <w:tcW w:w="5744" w:type="dxa"/>
            <w:gridSpan w:val="6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云服务部署模型</w:t>
            </w:r>
          </w:p>
        </w:tc>
        <w:tc>
          <w:tcPr>
            <w:tcW w:w="5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指公有云、私有云、混合云等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上云合作机构</w:t>
            </w:r>
          </w:p>
        </w:tc>
        <w:tc>
          <w:tcPr>
            <w:tcW w:w="5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指公有云、私有云等以及</w:t>
            </w:r>
            <w:r>
              <w:rPr>
                <w:rFonts w:ascii="宋体" w:hAnsi="宋体" w:cs="仿宋_GB2312"/>
                <w:i/>
                <w:color w:val="7030A0"/>
                <w:sz w:val="24"/>
              </w:rPr>
              <w:t>工业互联网平台</w:t>
            </w: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上云开始时间</w:t>
            </w:r>
          </w:p>
        </w:tc>
        <w:tc>
          <w:tcPr>
            <w:tcW w:w="5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所处行业</w:t>
            </w:r>
          </w:p>
        </w:tc>
        <w:tc>
          <w:tcPr>
            <w:tcW w:w="5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sz w:val="24"/>
              </w:rPr>
            </w:pP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上云范围及内容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8104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*简要说明企业上云的范围和内容，不超过500字。同时勾选“企业上云业务及应用表”中的相关内容，并提供佐证材料。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上云效果说明</w:t>
            </w:r>
          </w:p>
        </w:tc>
        <w:tc>
          <w:tcPr>
            <w:tcW w:w="8104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hint="eastAsia" w:ascii="宋体" w:hAnsi="宋体" w:cs="仿宋_GB2312"/>
                <w:i/>
                <w:color w:val="7030A0"/>
                <w:sz w:val="24"/>
              </w:rPr>
              <w:t>*通过定性和定量相结合的方式，简要说明企业上云后的应用成效，不超过500字。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请随本表提供以下配套证明材料：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/>
          <w:sz w:val="24"/>
        </w:rPr>
        <w:t>1.营业</w:t>
      </w:r>
      <w:r>
        <w:rPr>
          <w:rFonts w:hint="eastAsia" w:ascii="Times New Roman" w:hAnsi="Times New Roman" w:eastAsia="宋体"/>
          <w:sz w:val="24"/>
        </w:rPr>
        <w:t>执照副本复印件（必有项）；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2.云服务采购、云平台采购、云应用软件定制开发等所有上云投入的合同</w:t>
      </w:r>
      <w:r>
        <w:rPr>
          <w:rFonts w:hint="eastAsia" w:ascii="Times New Roman" w:hAnsi="Times New Roman" w:eastAsia="宋体"/>
          <w:sz w:val="24"/>
          <w:lang w:eastAsia="zh-CN"/>
        </w:rPr>
        <w:t>。</w:t>
      </w:r>
      <w:r>
        <w:rPr>
          <w:rFonts w:hint="eastAsia" w:ascii="Times New Roman" w:hAnsi="Times New Roman" w:eastAsia="宋体"/>
          <w:sz w:val="24"/>
        </w:rPr>
        <w:t>若合同中未明确体现“云服务”、“云产品”等字样，还需提供云服务/产品在云端部署/应用的说明，并由申报企业和云服务/产品提供方共同盖章；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</w:rPr>
        <w:t>.</w:t>
      </w:r>
      <w:r>
        <w:rPr>
          <w:rFonts w:hint="eastAsia" w:ascii="Times New Roman" w:hAnsi="Times New Roman" w:eastAsia="宋体"/>
          <w:sz w:val="24"/>
          <w:lang w:eastAsia="zh-CN"/>
        </w:rPr>
        <w:t>使用私有云的单位申报四星、五星上云企业，须提供</w:t>
      </w:r>
      <w:r>
        <w:rPr>
          <w:rFonts w:hint="eastAsia" w:ascii="Times New Roman" w:hAnsi="Times New Roman" w:eastAsia="宋体"/>
          <w:sz w:val="24"/>
        </w:rPr>
        <w:t>云平台建设方案、用户手册等</w:t>
      </w:r>
      <w:r>
        <w:rPr>
          <w:rFonts w:hint="eastAsia" w:ascii="Times New Roman" w:hAnsi="Times New Roman" w:eastAsia="宋体"/>
          <w:sz w:val="24"/>
          <w:lang w:eastAsia="zh-CN"/>
        </w:rPr>
        <w:t>。</w:t>
      </w:r>
      <w:r>
        <w:rPr>
          <w:rFonts w:hint="eastAsia" w:ascii="Times New Roman" w:hAnsi="Times New Roman" w:eastAsia="宋体"/>
          <w:sz w:val="24"/>
        </w:rPr>
        <w:t>申报三星级</w:t>
      </w:r>
      <w:r>
        <w:rPr>
          <w:rFonts w:hint="eastAsia" w:ascii="Times New Roman" w:hAnsi="Times New Roman" w:eastAsia="宋体"/>
          <w:sz w:val="24"/>
          <w:lang w:eastAsia="zh-CN"/>
        </w:rPr>
        <w:t>的</w:t>
      </w:r>
      <w:r>
        <w:rPr>
          <w:rFonts w:hint="eastAsia" w:ascii="Times New Roman" w:hAnsi="Times New Roman" w:eastAsia="宋体"/>
          <w:sz w:val="24"/>
        </w:rPr>
        <w:t>企业</w:t>
      </w:r>
      <w:r>
        <w:rPr>
          <w:rFonts w:hint="eastAsia" w:ascii="Times New Roman" w:hAnsi="Times New Roman" w:eastAsia="宋体"/>
          <w:sz w:val="24"/>
          <w:lang w:eastAsia="zh-CN"/>
        </w:rPr>
        <w:t>以各区县要求为准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</w:rPr>
        <w:t>.</w:t>
      </w:r>
      <w:r>
        <w:rPr>
          <w:rFonts w:hint="eastAsia" w:ascii="Times New Roman" w:hAnsi="Times New Roman"/>
          <w:sz w:val="24"/>
        </w:rPr>
        <w:t>各项上云业务实际使用效果截图（必有项）；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</w:rPr>
        <w:t>.设备上云情况说明及实际使用截图；（若无可不提供）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</w:rPr>
        <w:t>.创新应用情况和效果说明；（若无可不提供）</w:t>
      </w:r>
    </w:p>
    <w:p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7</w:t>
      </w:r>
      <w:r>
        <w:rPr>
          <w:rFonts w:hint="eastAsia" w:ascii="Times New Roman" w:hAnsi="Times New Roman" w:eastAsia="宋体"/>
          <w:sz w:val="24"/>
        </w:rPr>
        <w:t>.其他证明性材料。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  <w:r>
        <w:rPr>
          <w:rFonts w:hint="eastAsia" w:ascii="Times New Roman" w:hAnsi="Times New Roman"/>
          <w:b/>
          <w:i/>
          <w:sz w:val="22"/>
        </w:rPr>
        <w:t>注：上述材料需随</w:t>
      </w:r>
      <w:r>
        <w:rPr>
          <w:rFonts w:hint="eastAsia" w:ascii="Times New Roman" w:hAnsi="Times New Roman"/>
          <w:b/>
          <w:i/>
          <w:sz w:val="22"/>
          <w:lang w:eastAsia="zh-CN"/>
        </w:rPr>
        <w:t>企业及基本信息</w:t>
      </w:r>
      <w:r>
        <w:rPr>
          <w:rFonts w:hint="eastAsia" w:ascii="Times New Roman" w:hAnsi="Times New Roman"/>
          <w:b/>
          <w:i/>
          <w:sz w:val="22"/>
        </w:rPr>
        <w:t>表</w:t>
      </w:r>
      <w:r>
        <w:rPr>
          <w:rFonts w:hint="eastAsia" w:ascii="Times New Roman" w:hAnsi="Times New Roman"/>
          <w:b/>
          <w:i/>
          <w:sz w:val="22"/>
          <w:lang w:eastAsia="zh-CN"/>
        </w:rPr>
        <w:t>、</w:t>
      </w:r>
      <w:r>
        <w:rPr>
          <w:rFonts w:hint="eastAsia" w:ascii="Times New Roman" w:hAnsi="Times New Roman"/>
          <w:b/>
          <w:i/>
          <w:sz w:val="22"/>
        </w:rPr>
        <w:t>附表胶装成册，附表 企业上云业务及应用表只需填写上云/满足项及证明材料在申报书中的页码即可</w:t>
      </w: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pStyle w:val="2"/>
        <w:rPr>
          <w:rFonts w:hint="eastAsia" w:ascii="Times New Roman" w:hAnsi="Times New Roman"/>
          <w:b/>
          <w:i/>
          <w:sz w:val="22"/>
        </w:rPr>
      </w:pPr>
    </w:p>
    <w:p>
      <w:pPr>
        <w:pStyle w:val="2"/>
        <w:rPr>
          <w:rFonts w:hint="eastAsia" w:ascii="Times New Roman" w:hAnsi="Times New Roman"/>
          <w:b/>
          <w:i/>
          <w:sz w:val="22"/>
        </w:rPr>
      </w:pPr>
    </w:p>
    <w:p>
      <w:pPr>
        <w:pStyle w:val="2"/>
        <w:rPr>
          <w:rFonts w:hint="eastAsia" w:ascii="Times New Roman" w:hAnsi="Times New Roman"/>
          <w:b/>
          <w:i/>
          <w:sz w:val="22"/>
        </w:rPr>
      </w:pPr>
    </w:p>
    <w:p>
      <w:pPr>
        <w:pStyle w:val="2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line="420" w:lineRule="exact"/>
        <w:rPr>
          <w:rFonts w:hint="eastAsia" w:ascii="Times New Roman" w:hAnsi="Times New Roman"/>
          <w:b/>
          <w:i/>
          <w:sz w:val="22"/>
        </w:rPr>
      </w:pPr>
    </w:p>
    <w:p>
      <w:pPr>
        <w:spacing w:after="156" w:afterLines="50" w:line="420" w:lineRule="exact"/>
        <w:jc w:val="center"/>
        <w:rPr>
          <w:rFonts w:ascii="Times New Roman" w:hAnsi="Times New Roman"/>
          <w:b/>
          <w:iCs/>
          <w:sz w:val="32"/>
          <w:szCs w:val="36"/>
        </w:rPr>
      </w:pPr>
      <w:r>
        <w:rPr>
          <w:rFonts w:hint="eastAsia" w:ascii="Times New Roman" w:hAnsi="Times New Roman"/>
          <w:b/>
          <w:iCs/>
          <w:sz w:val="32"/>
          <w:szCs w:val="36"/>
        </w:rPr>
        <w:t>附表 企业上云业务及应用表</w:t>
      </w:r>
    </w:p>
    <w:tbl>
      <w:tblPr>
        <w:tblStyle w:val="11"/>
        <w:tblW w:w="4904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10"/>
        <w:gridCol w:w="2835"/>
        <w:gridCol w:w="127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083" w:type="pct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子类</w:t>
            </w:r>
          </w:p>
        </w:tc>
        <w:tc>
          <w:tcPr>
            <w:tcW w:w="1696" w:type="pct"/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域</w:t>
            </w:r>
          </w:p>
        </w:tc>
        <w:tc>
          <w:tcPr>
            <w:tcW w:w="763" w:type="pct"/>
            <w:shd w:val="clear" w:color="auto" w:fill="D9D9D9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是否上云/满足</w:t>
            </w:r>
          </w:p>
        </w:tc>
        <w:tc>
          <w:tcPr>
            <w:tcW w:w="933" w:type="pct"/>
            <w:shd w:val="clear" w:color="auto" w:fill="D9D9D9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证明材料在申报书中的页码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基础系统上云</w:t>
            </w: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IT资源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门户网站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数据库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存储资源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计算资源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安全防护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内容安全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业务安全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网络安全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办公协同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工作文件存储和备份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协同工作工具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会议系统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电话会议系统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视频会议系统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管理上云</w:t>
            </w: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绩效管理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薪酬管理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费用管理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税务管理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报销管理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云办公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云桌面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云安保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IT开发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IT测试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IT运维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业务上云</w:t>
            </w: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研发设计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研发设计应用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协同开发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MES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ERP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生产数据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应用软件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供应链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仓储管理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CRM和渠道管理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客服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设备上云</w:t>
            </w: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设备接入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高耗能设备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通用动力设备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新能源设备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智能化设备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其他设备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设备服务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设备管理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数据监控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决策优化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APP应用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52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上云成效</w:t>
            </w:r>
          </w:p>
        </w:tc>
        <w:tc>
          <w:tcPr>
            <w:tcW w:w="108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应用层面</w:t>
            </w: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成本下降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数据可视化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设备可视化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经营管控能力提升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生产效率提升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业务模式优化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其他应用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20" w:lineRule="exact"/>
        <w:rPr>
          <w:rFonts w:hint="eastAsia" w:ascii="Times New Roman" w:hAnsi="Times New Roman"/>
          <w:b/>
          <w:i/>
          <w:sz w:val="2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line="240" w:lineRule="auto"/>
        <w:ind w:left="0" w:leftChars="0" w:right="0" w:rightChars="0"/>
        <w:rPr>
          <w:rFonts w:ascii="黑体" w:eastAsia="黑体"/>
          <w:color w:val="000000"/>
        </w:rPr>
      </w:pPr>
    </w:p>
    <w:sectPr>
      <w:headerReference r:id="rId6" w:type="default"/>
      <w:footerReference r:id="rId7" w:type="default"/>
      <w:pgSz w:w="11906" w:h="16838"/>
      <w:pgMar w:top="1418" w:right="1418" w:bottom="1418" w:left="1361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永中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三_GBK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Microsoft YaHei UI">
    <w:altName w:val="Droid Sans Fallbac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zUxYTVhOTU3YmNhZjE0ZGUwNTA4ZjMyM2Q2MTEifQ=="/>
  </w:docVars>
  <w:rsids>
    <w:rsidRoot w:val="94E7BD05"/>
    <w:rsid w:val="015A591B"/>
    <w:rsid w:val="0D6F1B5F"/>
    <w:rsid w:val="0FB63EAF"/>
    <w:rsid w:val="0FDC4757"/>
    <w:rsid w:val="139EBF54"/>
    <w:rsid w:val="13FFBAE7"/>
    <w:rsid w:val="15B2D09A"/>
    <w:rsid w:val="160FE812"/>
    <w:rsid w:val="1AFF19EF"/>
    <w:rsid w:val="1EEFF3C9"/>
    <w:rsid w:val="1EF35F88"/>
    <w:rsid w:val="1FAE816C"/>
    <w:rsid w:val="1FF5B68A"/>
    <w:rsid w:val="1FF7FDC8"/>
    <w:rsid w:val="1FFE9F4A"/>
    <w:rsid w:val="261B4F21"/>
    <w:rsid w:val="2AFCCBDE"/>
    <w:rsid w:val="2BB52B7C"/>
    <w:rsid w:val="2FF2EA6E"/>
    <w:rsid w:val="31AFFC60"/>
    <w:rsid w:val="32FF8580"/>
    <w:rsid w:val="33DCBF43"/>
    <w:rsid w:val="356F90F6"/>
    <w:rsid w:val="35FFA219"/>
    <w:rsid w:val="36FEF167"/>
    <w:rsid w:val="37172CDD"/>
    <w:rsid w:val="37F7C6AF"/>
    <w:rsid w:val="37FF9F52"/>
    <w:rsid w:val="37FFACAB"/>
    <w:rsid w:val="397EA148"/>
    <w:rsid w:val="39D1450B"/>
    <w:rsid w:val="39F164CE"/>
    <w:rsid w:val="3B65378C"/>
    <w:rsid w:val="3BFBA490"/>
    <w:rsid w:val="3DFF580A"/>
    <w:rsid w:val="3E3FF266"/>
    <w:rsid w:val="3E6B216C"/>
    <w:rsid w:val="3E7E10CE"/>
    <w:rsid w:val="3EEFB86B"/>
    <w:rsid w:val="3EF79A87"/>
    <w:rsid w:val="3F7725F3"/>
    <w:rsid w:val="3FAF143F"/>
    <w:rsid w:val="3FC3E1B4"/>
    <w:rsid w:val="3FD720E3"/>
    <w:rsid w:val="3FF6C3AF"/>
    <w:rsid w:val="42548F0E"/>
    <w:rsid w:val="437F4ABA"/>
    <w:rsid w:val="47DED744"/>
    <w:rsid w:val="49FF4804"/>
    <w:rsid w:val="4DB72F0D"/>
    <w:rsid w:val="4DD74908"/>
    <w:rsid w:val="4DE7F02A"/>
    <w:rsid w:val="4DFFFCD7"/>
    <w:rsid w:val="4ED7B2B7"/>
    <w:rsid w:val="4F5A325F"/>
    <w:rsid w:val="4FD3227A"/>
    <w:rsid w:val="4FE24829"/>
    <w:rsid w:val="4FFF935F"/>
    <w:rsid w:val="567D3A91"/>
    <w:rsid w:val="56BF60B5"/>
    <w:rsid w:val="57FCC4C8"/>
    <w:rsid w:val="57FF19BC"/>
    <w:rsid w:val="58BE7A78"/>
    <w:rsid w:val="594F5B52"/>
    <w:rsid w:val="59BF808B"/>
    <w:rsid w:val="59D5A9F8"/>
    <w:rsid w:val="5BCEAC1E"/>
    <w:rsid w:val="5BEF7C76"/>
    <w:rsid w:val="5D3FF40F"/>
    <w:rsid w:val="5D8F98CC"/>
    <w:rsid w:val="5DB7FBD7"/>
    <w:rsid w:val="5DFB0CD3"/>
    <w:rsid w:val="5DFF8402"/>
    <w:rsid w:val="5E5F6B71"/>
    <w:rsid w:val="5EEBCFDD"/>
    <w:rsid w:val="5EFF74C3"/>
    <w:rsid w:val="5F5FCB0C"/>
    <w:rsid w:val="5F771EC8"/>
    <w:rsid w:val="5F7933D9"/>
    <w:rsid w:val="5F7F5223"/>
    <w:rsid w:val="5F7FB4BB"/>
    <w:rsid w:val="5FBF9595"/>
    <w:rsid w:val="5FBFD282"/>
    <w:rsid w:val="5FCF2060"/>
    <w:rsid w:val="5FF53169"/>
    <w:rsid w:val="5FF56294"/>
    <w:rsid w:val="5FFB2443"/>
    <w:rsid w:val="5FFB8578"/>
    <w:rsid w:val="5FFE7ED6"/>
    <w:rsid w:val="664E9D28"/>
    <w:rsid w:val="66735C0B"/>
    <w:rsid w:val="679FFC63"/>
    <w:rsid w:val="67EF9C25"/>
    <w:rsid w:val="67FFFC9F"/>
    <w:rsid w:val="69D871B9"/>
    <w:rsid w:val="69FFBCC1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8FEE0B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E69DB2"/>
    <w:rsid w:val="73F4CDBB"/>
    <w:rsid w:val="74DF2EED"/>
    <w:rsid w:val="755F166A"/>
    <w:rsid w:val="755F6FD2"/>
    <w:rsid w:val="758BB662"/>
    <w:rsid w:val="75FFDD16"/>
    <w:rsid w:val="763F6FF6"/>
    <w:rsid w:val="766F7B11"/>
    <w:rsid w:val="76BB1FAD"/>
    <w:rsid w:val="76C7706D"/>
    <w:rsid w:val="76DB6075"/>
    <w:rsid w:val="76DF936A"/>
    <w:rsid w:val="76E3B280"/>
    <w:rsid w:val="76FDA3CF"/>
    <w:rsid w:val="77917CEB"/>
    <w:rsid w:val="77A7743C"/>
    <w:rsid w:val="77CB9B23"/>
    <w:rsid w:val="77DE723C"/>
    <w:rsid w:val="77E6D9F9"/>
    <w:rsid w:val="77E9E198"/>
    <w:rsid w:val="77F582D6"/>
    <w:rsid w:val="77FF58F9"/>
    <w:rsid w:val="78B2C995"/>
    <w:rsid w:val="7AFC3EFB"/>
    <w:rsid w:val="7B7BE194"/>
    <w:rsid w:val="7B7E91C2"/>
    <w:rsid w:val="7B9F5EF0"/>
    <w:rsid w:val="7BBDFDA0"/>
    <w:rsid w:val="7BDBAA3E"/>
    <w:rsid w:val="7BF5273A"/>
    <w:rsid w:val="7BFE676F"/>
    <w:rsid w:val="7BFEE0CC"/>
    <w:rsid w:val="7C7DD1F5"/>
    <w:rsid w:val="7C9EB47B"/>
    <w:rsid w:val="7CC970D4"/>
    <w:rsid w:val="7CEEBD2C"/>
    <w:rsid w:val="7CFF2282"/>
    <w:rsid w:val="7CFFAD3E"/>
    <w:rsid w:val="7D291E23"/>
    <w:rsid w:val="7DAF0A7E"/>
    <w:rsid w:val="7DB7466F"/>
    <w:rsid w:val="7DEEAF3E"/>
    <w:rsid w:val="7DEFE9E8"/>
    <w:rsid w:val="7DFD5A4E"/>
    <w:rsid w:val="7E7FE540"/>
    <w:rsid w:val="7EFFE460"/>
    <w:rsid w:val="7F078046"/>
    <w:rsid w:val="7F3F6A9F"/>
    <w:rsid w:val="7F5F6F0D"/>
    <w:rsid w:val="7F73EF23"/>
    <w:rsid w:val="7F7DEBDD"/>
    <w:rsid w:val="7FAF2E2F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8F974151"/>
    <w:rsid w:val="92D7EF33"/>
    <w:rsid w:val="92FF60B4"/>
    <w:rsid w:val="93F5CFC1"/>
    <w:rsid w:val="94E7BD05"/>
    <w:rsid w:val="96BF837C"/>
    <w:rsid w:val="96FF29AD"/>
    <w:rsid w:val="998F235D"/>
    <w:rsid w:val="99FF07AB"/>
    <w:rsid w:val="9E1F9088"/>
    <w:rsid w:val="9E9D2B26"/>
    <w:rsid w:val="9ED70DC9"/>
    <w:rsid w:val="9F7151F2"/>
    <w:rsid w:val="9FBE687A"/>
    <w:rsid w:val="9FDFF769"/>
    <w:rsid w:val="A5ED7D45"/>
    <w:rsid w:val="A7D9D436"/>
    <w:rsid w:val="A7F7285F"/>
    <w:rsid w:val="A7FE2F3D"/>
    <w:rsid w:val="A9BFA0A4"/>
    <w:rsid w:val="A9BFF962"/>
    <w:rsid w:val="AAEFC1CB"/>
    <w:rsid w:val="AAFE3187"/>
    <w:rsid w:val="AB5558C1"/>
    <w:rsid w:val="ABBF31A2"/>
    <w:rsid w:val="ABFBD41A"/>
    <w:rsid w:val="ACFF3F85"/>
    <w:rsid w:val="AEBFDB22"/>
    <w:rsid w:val="AFBDEED1"/>
    <w:rsid w:val="B3D738A4"/>
    <w:rsid w:val="B4BFDF07"/>
    <w:rsid w:val="B5FD7365"/>
    <w:rsid w:val="B6DF7C28"/>
    <w:rsid w:val="B7F9358E"/>
    <w:rsid w:val="BAE94207"/>
    <w:rsid w:val="BB6B24F6"/>
    <w:rsid w:val="BB77690B"/>
    <w:rsid w:val="BBBF1E17"/>
    <w:rsid w:val="BBFB2799"/>
    <w:rsid w:val="BBFF8126"/>
    <w:rsid w:val="BC86EFF4"/>
    <w:rsid w:val="BCAD57F3"/>
    <w:rsid w:val="BD56A9F1"/>
    <w:rsid w:val="BF2B29F1"/>
    <w:rsid w:val="BF421046"/>
    <w:rsid w:val="BF553310"/>
    <w:rsid w:val="BF7FF47A"/>
    <w:rsid w:val="BFBDE594"/>
    <w:rsid w:val="BFF4D2DD"/>
    <w:rsid w:val="BFFC7DD3"/>
    <w:rsid w:val="BFFD858C"/>
    <w:rsid w:val="C4E84498"/>
    <w:rsid w:val="C5E30293"/>
    <w:rsid w:val="CCFF7111"/>
    <w:rsid w:val="CD7CD415"/>
    <w:rsid w:val="CEBEB81C"/>
    <w:rsid w:val="CFF576EF"/>
    <w:rsid w:val="CFFEFA3E"/>
    <w:rsid w:val="D2FED070"/>
    <w:rsid w:val="D5EC7277"/>
    <w:rsid w:val="D6AF2070"/>
    <w:rsid w:val="D74E8631"/>
    <w:rsid w:val="D77FCE93"/>
    <w:rsid w:val="D7BB2ECD"/>
    <w:rsid w:val="D7F77252"/>
    <w:rsid w:val="D7FDBCFB"/>
    <w:rsid w:val="D8DF66D7"/>
    <w:rsid w:val="D9EF71B8"/>
    <w:rsid w:val="D9FFC7F1"/>
    <w:rsid w:val="DABF8612"/>
    <w:rsid w:val="DBFA3B73"/>
    <w:rsid w:val="DC77C377"/>
    <w:rsid w:val="DDAF67E7"/>
    <w:rsid w:val="DDEF7089"/>
    <w:rsid w:val="DDF3385C"/>
    <w:rsid w:val="DE3D5EFE"/>
    <w:rsid w:val="DED7E545"/>
    <w:rsid w:val="DEF7EDF6"/>
    <w:rsid w:val="DEFF79B2"/>
    <w:rsid w:val="DF2BE0B1"/>
    <w:rsid w:val="DF5F8652"/>
    <w:rsid w:val="DF7F0423"/>
    <w:rsid w:val="DF7FEF90"/>
    <w:rsid w:val="DFB120FA"/>
    <w:rsid w:val="DFBD16B7"/>
    <w:rsid w:val="DFBEAF69"/>
    <w:rsid w:val="DFDE23C0"/>
    <w:rsid w:val="DFDF38BC"/>
    <w:rsid w:val="DFFEDF9D"/>
    <w:rsid w:val="DFFF34EC"/>
    <w:rsid w:val="E3FB8AF7"/>
    <w:rsid w:val="E5EF9E0D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CFE11A"/>
    <w:rsid w:val="EFDE1D1F"/>
    <w:rsid w:val="EFEF449A"/>
    <w:rsid w:val="EFF7C701"/>
    <w:rsid w:val="EFFA7C4D"/>
    <w:rsid w:val="EFFBF40D"/>
    <w:rsid w:val="EFFFFA1E"/>
    <w:rsid w:val="F0379586"/>
    <w:rsid w:val="F0DD6BA5"/>
    <w:rsid w:val="F1EF6F8D"/>
    <w:rsid w:val="F3572CFE"/>
    <w:rsid w:val="F35F7203"/>
    <w:rsid w:val="F36BB517"/>
    <w:rsid w:val="F3E81678"/>
    <w:rsid w:val="F3FA8C25"/>
    <w:rsid w:val="F3FE1FA0"/>
    <w:rsid w:val="F3FFB380"/>
    <w:rsid w:val="F56FFBE4"/>
    <w:rsid w:val="F57BE3A4"/>
    <w:rsid w:val="F6A54A99"/>
    <w:rsid w:val="F6D02B50"/>
    <w:rsid w:val="F6FBE972"/>
    <w:rsid w:val="F6FFFECE"/>
    <w:rsid w:val="F7D72159"/>
    <w:rsid w:val="F7EFA020"/>
    <w:rsid w:val="F7F7E281"/>
    <w:rsid w:val="F7FED2FA"/>
    <w:rsid w:val="F87FD083"/>
    <w:rsid w:val="F89F97FC"/>
    <w:rsid w:val="F8DD072A"/>
    <w:rsid w:val="F9DF7958"/>
    <w:rsid w:val="F9FB6636"/>
    <w:rsid w:val="F9FFC4B1"/>
    <w:rsid w:val="FAEBA495"/>
    <w:rsid w:val="FAFDAE99"/>
    <w:rsid w:val="FAFF3D27"/>
    <w:rsid w:val="FB1DC6F4"/>
    <w:rsid w:val="FB1F5000"/>
    <w:rsid w:val="FB5DF583"/>
    <w:rsid w:val="FBCF3DC5"/>
    <w:rsid w:val="FBDF1036"/>
    <w:rsid w:val="FBF387CE"/>
    <w:rsid w:val="FBFB29E8"/>
    <w:rsid w:val="FBFBF1D6"/>
    <w:rsid w:val="FBFDD752"/>
    <w:rsid w:val="FBFF6C76"/>
    <w:rsid w:val="FBFFB158"/>
    <w:rsid w:val="FBFFB91B"/>
    <w:rsid w:val="FBFFFB5F"/>
    <w:rsid w:val="FC662F34"/>
    <w:rsid w:val="FCA39D7B"/>
    <w:rsid w:val="FCBDEE6E"/>
    <w:rsid w:val="FCDED081"/>
    <w:rsid w:val="FCF6E0DE"/>
    <w:rsid w:val="FCFF19BC"/>
    <w:rsid w:val="FCFF3121"/>
    <w:rsid w:val="FD7F6542"/>
    <w:rsid w:val="FDAB7463"/>
    <w:rsid w:val="FDBE3F76"/>
    <w:rsid w:val="FDBFD1E7"/>
    <w:rsid w:val="FDC66AD8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A3722"/>
    <w:rsid w:val="FEAF1F4A"/>
    <w:rsid w:val="FEDF2855"/>
    <w:rsid w:val="FEDFD9F7"/>
    <w:rsid w:val="FEEE50C6"/>
    <w:rsid w:val="FEF3696C"/>
    <w:rsid w:val="FEF3B183"/>
    <w:rsid w:val="FEF56CD9"/>
    <w:rsid w:val="FEFF96C6"/>
    <w:rsid w:val="FF36D850"/>
    <w:rsid w:val="FF4FB45A"/>
    <w:rsid w:val="FF76B6DE"/>
    <w:rsid w:val="FF7C3FA9"/>
    <w:rsid w:val="FF7D4B77"/>
    <w:rsid w:val="FF9EBA47"/>
    <w:rsid w:val="FF9EE643"/>
    <w:rsid w:val="FFABA8F7"/>
    <w:rsid w:val="FFBD27AB"/>
    <w:rsid w:val="FFCFE3B7"/>
    <w:rsid w:val="FFD78FC7"/>
    <w:rsid w:val="FFDF20EB"/>
    <w:rsid w:val="FFE77452"/>
    <w:rsid w:val="FFEC1D3D"/>
    <w:rsid w:val="FFEC2F2D"/>
    <w:rsid w:val="FFED6836"/>
    <w:rsid w:val="FFEFB1EB"/>
    <w:rsid w:val="FFF4B365"/>
    <w:rsid w:val="FFF7CD7E"/>
    <w:rsid w:val="FFF879C9"/>
    <w:rsid w:val="FFF9599C"/>
    <w:rsid w:val="FFFA6CD8"/>
    <w:rsid w:val="FFFB1B9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华文仿宋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仿宋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230</Pages>
  <Words>75953</Words>
  <Characters>82893</Characters>
  <Lines>0</Lines>
  <Paragraphs>0</Paragraphs>
  <TotalTime>35</TotalTime>
  <ScaleCrop>false</ScaleCrop>
  <LinksUpToDate>false</LinksUpToDate>
  <CharactersWithSpaces>89327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2022-07-12T12:31:00Z</dcterms:created>
  <dc:creator>王业农</dc:creator>
  <cp:lastModifiedBy>jnak</cp:lastModifiedBy>
  <cp:lastPrinted>2022-09-22T03:37:00Z</cp:lastPrinted>
  <dcterms:modified xsi:type="dcterms:W3CDTF">2022-09-22T14:32:21Z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8156A2B8EC8148B8918FC473A95F21B6</vt:lpwstr>
  </property>
</Properties>
</file>