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 xml:space="preserve">附件1     </w:t>
      </w: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70707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color w:val="000000"/>
          <w:kern w:val="0"/>
          <w:sz w:val="44"/>
          <w:szCs w:val="44"/>
        </w:rPr>
        <w:t>济南市千兆城市示范区（县）评价指标</w:t>
      </w:r>
    </w:p>
    <w:bookmarkEnd w:id="0"/>
    <w:p>
      <w:pPr>
        <w:spacing w:line="191" w:lineRule="exact"/>
      </w:pPr>
    </w:p>
    <w:tbl>
      <w:tblPr>
        <w:tblStyle w:val="5"/>
        <w:tblW w:w="145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54"/>
        <w:gridCol w:w="3828"/>
        <w:gridCol w:w="1417"/>
        <w:gridCol w:w="7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29" w:line="221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6"/>
                <w:sz w:val="24"/>
              </w:rPr>
              <w:t>序号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20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-3"/>
                <w:sz w:val="24"/>
              </w:rPr>
              <w:t>指标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2"/>
                <w:sz w:val="24"/>
              </w:rPr>
              <w:t>指标含义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-3"/>
                <w:sz w:val="24"/>
              </w:rPr>
              <w:t>指标值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30" w:line="219" w:lineRule="auto"/>
              <w:jc w:val="center"/>
              <w:rPr>
                <w:rFonts w:ascii="黑体" w:hAnsi="黑体" w:eastAsia="黑体" w:cs="宋体"/>
                <w:b/>
                <w:bCs/>
                <w:sz w:val="24"/>
              </w:rPr>
            </w:pPr>
            <w:r>
              <w:rPr>
                <w:rFonts w:ascii="黑体" w:hAnsi="黑体" w:eastAsia="黑体" w:cs="宋体"/>
                <w:b/>
                <w:bCs/>
                <w:spacing w:val="11"/>
                <w:sz w:val="24"/>
              </w:rPr>
              <w:t>计算方法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1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城市家庭千兆光纤网络覆盖率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城市地区千兆光纤网络能力供给情况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100%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城市地区具备千兆接入能力的家庭数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城市地区家庭总数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2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10G-PON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端口占比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城市地区电信运营企业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10G-PON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端口与所有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端口总数的比例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45%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城市地区电信运营企业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 xml:space="preserve">10G-PON 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所有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PON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端口总数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3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重点场所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网络通达率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城市地区重点场所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网络通达情况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100%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城市地区已有5G信号覆盖的市属公办医院(三级以上)、重点高校、文化旅游重点区域以及开办客运业务的火车站(二等以上)、干线机场、重点道路等场所总数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上述场所总数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每万人拥有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基站数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70"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基站数与城市常住人口总数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单位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: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万人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的比例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40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个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万人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基站数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城市常住人口数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单位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: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万人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500Mbps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及以上用户占比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500Mbps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及以上宽带接入用户占所有固定宽带用户的比例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40%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500Mbps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及以上宽带接入用户数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所有固定宽带用户总数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6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用户占比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用户占所有移动宽带用户的比例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50%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城市地区5G用户(按5G手机终端连接数计算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)/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所有移动宽带用户数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7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“双千兆”应用创新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-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千兆光网和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5G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协同部署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在教育、医疗、信息消费、城市公共管理、制造业、交通、能源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不限于</w:t>
            </w:r>
            <w:r>
              <w:rPr>
                <w:rFonts w:ascii="仿宋_GB2312" w:hAnsi="仿宋" w:eastAsia="仿宋_GB2312" w:cs="仿宋"/>
                <w:spacing w:val="-1"/>
                <w:szCs w:val="21"/>
              </w:rPr>
              <w:t>)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等垂直行业形成典型应用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20</w:t>
            </w: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个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各区县报送相关典型案例情况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pacing w:val="-1"/>
                <w:szCs w:val="21"/>
              </w:rPr>
              <w:t>8</w:t>
            </w:r>
          </w:p>
        </w:tc>
        <w:tc>
          <w:tcPr>
            <w:tcW w:w="155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产业政策</w:t>
            </w:r>
          </w:p>
        </w:tc>
        <w:tc>
          <w:tcPr>
            <w:tcW w:w="382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ind w:left="105" w:leftChars="50"/>
              <w:jc w:val="left"/>
              <w:rPr>
                <w:rFonts w:ascii="仿宋_GB2312" w:hAnsi="仿宋" w:eastAsia="仿宋_GB2312" w:cs="仿宋"/>
                <w:spacing w:val="14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区县支持“双千兆”发展的产业政策</w:t>
            </w:r>
          </w:p>
        </w:tc>
        <w:tc>
          <w:tcPr>
            <w:tcW w:w="141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pacing w:val="1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不少于5项</w:t>
            </w:r>
          </w:p>
        </w:tc>
        <w:tc>
          <w:tcPr>
            <w:tcW w:w="70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1"/>
                <w:szCs w:val="21"/>
              </w:rPr>
              <w:t>各区县制定产业政策情况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YTIzNjFiYjA4MmE1N2JkYWQzYWM5YzAyZTA0MjAifQ=="/>
  </w:docVars>
  <w:rsids>
    <w:rsidRoot w:val="761842EA"/>
    <w:rsid w:val="7412579C"/>
    <w:rsid w:val="7618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2024-04-03T08:57:00Z</dcterms:created>
  <dc:creator>姚昱轩</dc:creator>
  <cp:lastModifiedBy>姚昱轩</cp:lastModifiedBy>
  <dcterms:modified xsi:type="dcterms:W3CDTF">2024-04-03T08:58:31Z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7BB398E77FDC476C80ABB413F6347021_11</vt:lpwstr>
  </property>
</Properties>
</file>