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sz w:val="32"/>
          <w:szCs w:val="32"/>
        </w:rPr>
      </w:pPr>
      <w:bookmarkStart w:id="3" w:name="_GoBack"/>
      <w:bookmarkStart w:id="0" w:name="_Hlk79667278"/>
      <w:r>
        <w:rPr>
          <w:rFonts w:hint="eastAsia" w:ascii="黑体" w:hAnsi="黑体" w:eastAsia="黑体"/>
          <w:sz w:val="32"/>
          <w:szCs w:val="32"/>
        </w:rPr>
        <w:t>附件2</w:t>
      </w:r>
    </w:p>
    <w:p>
      <w:pPr>
        <w:spacing w:line="600" w:lineRule="exact"/>
        <w:rPr>
          <w:rFonts w:ascii="黑体" w:hAnsi="黑体" w:eastAsia="黑体"/>
          <w:sz w:val="32"/>
          <w:szCs w:val="32"/>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济南市</w:t>
      </w:r>
      <w:bookmarkEnd w:id="0"/>
      <w:r>
        <w:rPr>
          <w:rFonts w:hint="eastAsia" w:ascii="方正小标宋简体" w:hAnsi="方正小标宋简体" w:eastAsia="方正小标宋简体" w:cs="方正小标宋简体"/>
          <w:sz w:val="44"/>
          <w:szCs w:val="44"/>
        </w:rPr>
        <w:t>千兆城市示范区（县）创建工作指南</w:t>
      </w:r>
    </w:p>
    <w:bookmarkEnd w:id="3"/>
    <w:p>
      <w:pPr>
        <w:spacing w:line="600" w:lineRule="exact"/>
        <w:jc w:val="center"/>
        <w:rPr>
          <w:rFonts w:ascii="黑体" w:eastAsia="黑体"/>
          <w:sz w:val="32"/>
          <w:szCs w:val="30"/>
        </w:rPr>
      </w:pPr>
    </w:p>
    <w:p>
      <w:pPr>
        <w:spacing w:line="560" w:lineRule="exact"/>
        <w:jc w:val="center"/>
        <w:rPr>
          <w:rFonts w:ascii="黑体" w:eastAsia="黑体"/>
          <w:sz w:val="32"/>
          <w:szCs w:val="30"/>
        </w:rPr>
      </w:pPr>
      <w:r>
        <w:rPr>
          <w:rFonts w:hint="eastAsia" w:ascii="黑体" w:eastAsia="黑体"/>
          <w:sz w:val="32"/>
          <w:szCs w:val="30"/>
        </w:rPr>
        <w:t xml:space="preserve">第一章  总  则 </w:t>
      </w:r>
    </w:p>
    <w:p>
      <w:pPr>
        <w:spacing w:line="560" w:lineRule="exact"/>
        <w:ind w:firstLine="640" w:firstLineChars="200"/>
        <w:rPr>
          <w:rFonts w:ascii="仿宋_GB2312" w:hAnsi="仿宋_GB2312" w:eastAsia="仿宋_GB2312" w:cs="仿宋_GB2312"/>
          <w:sz w:val="32"/>
          <w:szCs w:val="30"/>
        </w:rPr>
      </w:pPr>
      <w:r>
        <w:rPr>
          <w:rFonts w:hint="eastAsia" w:ascii="黑体" w:hAnsi="黑体" w:eastAsia="黑体" w:cs="黑体"/>
          <w:sz w:val="32"/>
          <w:szCs w:val="30"/>
        </w:rPr>
        <w:t>第一条</w:t>
      </w:r>
      <w:r>
        <w:rPr>
          <w:rFonts w:ascii="仿宋_GB2312" w:eastAsia="仿宋_GB2312"/>
          <w:sz w:val="32"/>
          <w:szCs w:val="30"/>
        </w:rPr>
        <w:t xml:space="preserve">  </w:t>
      </w:r>
      <w:bookmarkStart w:id="1" w:name="_Hlk95131070"/>
      <w:r>
        <w:rPr>
          <w:rFonts w:hint="eastAsia" w:ascii="仿宋" w:hAnsi="仿宋" w:eastAsia="仿宋" w:cs="仿宋"/>
          <w:color w:val="070707"/>
          <w:sz w:val="32"/>
          <w:szCs w:val="32"/>
          <w:lang w:val="en-US" w:eastAsia="zh-CN"/>
        </w:rPr>
        <w:t>为</w:t>
      </w:r>
      <w:r>
        <w:rPr>
          <w:rFonts w:hint="eastAsia" w:ascii="仿宋" w:hAnsi="仿宋" w:eastAsia="仿宋" w:cs="仿宋"/>
          <w:color w:val="070707"/>
          <w:sz w:val="32"/>
          <w:szCs w:val="32"/>
        </w:rPr>
        <w:t>贯彻党中央</w:t>
      </w:r>
      <w:r>
        <w:rPr>
          <w:rFonts w:hint="eastAsia" w:ascii="仿宋" w:hAnsi="仿宋" w:eastAsia="仿宋" w:cs="仿宋"/>
          <w:color w:val="070707"/>
          <w:sz w:val="32"/>
          <w:szCs w:val="32"/>
          <w:lang w:eastAsia="zh-CN"/>
        </w:rPr>
        <w:t>、</w:t>
      </w:r>
      <w:r>
        <w:rPr>
          <w:rFonts w:hint="eastAsia" w:ascii="仿宋" w:hAnsi="仿宋" w:eastAsia="仿宋" w:cs="仿宋"/>
          <w:color w:val="070707"/>
          <w:sz w:val="32"/>
          <w:szCs w:val="32"/>
          <w:lang w:val="en-US" w:eastAsia="zh-CN"/>
        </w:rPr>
        <w:t>国务院关于加快“双千兆”网络建设的决策部署和</w:t>
      </w:r>
      <w:r>
        <w:rPr>
          <w:rFonts w:hint="eastAsia" w:ascii="仿宋_GB2312" w:hAnsi="仿宋_GB2312" w:eastAsia="仿宋_GB2312" w:cs="仿宋_GB2312"/>
          <w:color w:val="070707"/>
          <w:sz w:val="32"/>
          <w:szCs w:val="32"/>
        </w:rPr>
        <w:t>《济南市2024年“双千兆”网络协同发展工作方案》（济通信建设办〔2024〕1号）</w:t>
      </w:r>
      <w:r>
        <w:rPr>
          <w:rFonts w:hint="eastAsia" w:ascii="仿宋_GB2312" w:hAnsi="仿宋_GB2312" w:eastAsia="仿宋_GB2312" w:cs="仿宋_GB2312"/>
          <w:sz w:val="32"/>
          <w:szCs w:val="30"/>
          <w:lang w:val="en-US" w:eastAsia="zh-CN"/>
        </w:rPr>
        <w:t>要求，</w:t>
      </w:r>
      <w:r>
        <w:rPr>
          <w:rFonts w:hint="eastAsia" w:ascii="仿宋_GB2312" w:hAnsi="仿宋_GB2312" w:eastAsia="仿宋_GB2312" w:cs="仿宋_GB2312"/>
          <w:sz w:val="32"/>
          <w:szCs w:val="30"/>
        </w:rPr>
        <w:t>推进5G和千兆光网为代表的“双千兆”网络协同发展</w:t>
      </w:r>
      <w:r>
        <w:rPr>
          <w:rFonts w:hint="eastAsia" w:ascii="仿宋_GB2312" w:hAnsi="仿宋_GB2312" w:eastAsia="仿宋_GB2312" w:cs="仿宋_GB2312"/>
          <w:sz w:val="32"/>
          <w:szCs w:val="30"/>
          <w:lang w:eastAsia="zh-CN"/>
        </w:rPr>
        <w:t>，</w:t>
      </w:r>
      <w:bookmarkEnd w:id="1"/>
      <w:bookmarkStart w:id="2" w:name="_Hlk95131086"/>
      <w:r>
        <w:rPr>
          <w:rFonts w:hint="eastAsia" w:ascii="仿宋_GB2312" w:hAnsi="仿宋_GB2312" w:eastAsia="仿宋_GB2312" w:cs="仿宋_GB2312"/>
          <w:sz w:val="32"/>
          <w:szCs w:val="30"/>
        </w:rPr>
        <w:t>打造一批千兆城市示范区（县），带动区域产业转型升级</w:t>
      </w:r>
      <w:bookmarkEnd w:id="2"/>
      <w:r>
        <w:rPr>
          <w:rFonts w:hint="eastAsia" w:ascii="仿宋_GB2312" w:hAnsi="仿宋_GB2312" w:eastAsia="仿宋_GB2312" w:cs="仿宋_GB2312"/>
          <w:sz w:val="32"/>
          <w:szCs w:val="30"/>
        </w:rPr>
        <w:t>，特制定本指南。</w:t>
      </w:r>
    </w:p>
    <w:p>
      <w:pPr>
        <w:spacing w:line="560" w:lineRule="exact"/>
        <w:jc w:val="center"/>
        <w:rPr>
          <w:rFonts w:ascii="黑体" w:eastAsia="黑体"/>
          <w:sz w:val="32"/>
          <w:szCs w:val="30"/>
        </w:rPr>
      </w:pPr>
      <w:r>
        <w:rPr>
          <w:rFonts w:hint="eastAsia" w:ascii="黑体" w:eastAsia="黑体"/>
          <w:sz w:val="32"/>
          <w:szCs w:val="30"/>
        </w:rPr>
        <w:t>第二章  创建内容</w:t>
      </w:r>
    </w:p>
    <w:p>
      <w:pPr>
        <w:spacing w:line="560" w:lineRule="exact"/>
        <w:ind w:firstLine="640" w:firstLineChars="200"/>
        <w:rPr>
          <w:rFonts w:ascii="方正仿宋_GBK" w:hAnsi="方正仿宋_GBK" w:eastAsia="方正仿宋_GBK" w:cs="仿宋_GB2312"/>
          <w:color w:val="000000"/>
          <w:sz w:val="32"/>
          <w:szCs w:val="32"/>
        </w:rPr>
      </w:pPr>
      <w:r>
        <w:rPr>
          <w:rFonts w:hint="eastAsia" w:ascii="黑体" w:hAnsi="黑体" w:eastAsia="黑体" w:cs="黑体"/>
          <w:sz w:val="32"/>
          <w:szCs w:val="30"/>
        </w:rPr>
        <w:t>第二条</w:t>
      </w:r>
      <w:r>
        <w:rPr>
          <w:rFonts w:ascii="仿宋_GB2312" w:eastAsia="仿宋_GB2312"/>
          <w:sz w:val="32"/>
          <w:szCs w:val="30"/>
        </w:rPr>
        <w:t xml:space="preserve">  </w:t>
      </w:r>
      <w:r>
        <w:rPr>
          <w:rFonts w:hint="eastAsia" w:ascii="仿宋_GB2312" w:eastAsia="仿宋_GB2312"/>
          <w:sz w:val="32"/>
          <w:szCs w:val="30"/>
        </w:rPr>
        <w:t>济南市</w:t>
      </w:r>
      <w:r>
        <w:rPr>
          <w:rFonts w:hint="eastAsia" w:ascii="仿宋_GB2312" w:hAnsi="仿宋_GB2312" w:eastAsia="仿宋_GB2312" w:cs="仿宋_GB2312"/>
          <w:sz w:val="32"/>
          <w:szCs w:val="30"/>
        </w:rPr>
        <w:t>千兆城市示范区（县）</w:t>
      </w:r>
      <w:r>
        <w:rPr>
          <w:rFonts w:hint="eastAsia" w:ascii="仿宋_GB2312" w:hAnsi="仿宋_GB2312" w:eastAsia="仿宋_GB2312" w:cs="仿宋_GB2312"/>
          <w:color w:val="000000"/>
          <w:sz w:val="32"/>
          <w:szCs w:val="32"/>
        </w:rPr>
        <w:t>的创建内容主要包括以下方面：</w:t>
      </w:r>
    </w:p>
    <w:p>
      <w:pPr>
        <w:spacing w:line="560" w:lineRule="exact"/>
        <w:ind w:firstLine="640" w:firstLineChars="200"/>
        <w:rPr>
          <w:rFonts w:ascii="仿宋_GB2312" w:hAnsi="仿宋_GB2312" w:eastAsia="仿宋_GB2312" w:cs="仿宋_GB2312"/>
          <w:color w:val="000000"/>
          <w:sz w:val="32"/>
          <w:szCs w:val="32"/>
        </w:rPr>
      </w:pPr>
      <w:r>
        <w:rPr>
          <w:rFonts w:hint="eastAsia" w:ascii="楷体" w:hAnsi="楷体" w:eastAsia="楷体" w:cs="楷体"/>
          <w:color w:val="000000"/>
          <w:sz w:val="32"/>
          <w:szCs w:val="32"/>
        </w:rPr>
        <w:t>（一）“双千兆”网络建设情况。</w:t>
      </w:r>
      <w:r>
        <w:rPr>
          <w:rFonts w:hint="eastAsia" w:ascii="仿宋_GB2312" w:hAnsi="仿宋_GB2312" w:eastAsia="仿宋_GB2312" w:cs="仿宋_GB2312"/>
          <w:color w:val="000000"/>
          <w:sz w:val="32"/>
          <w:szCs w:val="32"/>
        </w:rPr>
        <w:t>包括城市家庭千兆光纤网络覆盖率、城市10G-PON端口占比、重点场所</w:t>
      </w:r>
      <w:r>
        <w:rPr>
          <w:rFonts w:hint="eastAsia" w:ascii="仿宋_GB2312" w:hAnsi="仿宋" w:eastAsia="仿宋_GB2312" w:cs="仿宋"/>
          <w:color w:val="070707"/>
          <w:sz w:val="32"/>
          <w:szCs w:val="32"/>
        </w:rPr>
        <w:t>5G</w:t>
      </w:r>
      <w:r>
        <w:rPr>
          <w:rFonts w:hint="eastAsia" w:ascii="仿宋_GB2312" w:hAnsi="仿宋_GB2312" w:eastAsia="仿宋_GB2312" w:cs="仿宋_GB2312"/>
          <w:color w:val="000000"/>
          <w:sz w:val="32"/>
          <w:szCs w:val="32"/>
        </w:rPr>
        <w:t>网络通达率、每万人拥有</w:t>
      </w:r>
      <w:r>
        <w:rPr>
          <w:rFonts w:hint="eastAsia" w:ascii="仿宋_GB2312" w:hAnsi="仿宋" w:eastAsia="仿宋_GB2312" w:cs="仿宋"/>
          <w:color w:val="070707"/>
          <w:sz w:val="32"/>
          <w:szCs w:val="32"/>
        </w:rPr>
        <w:t>5G</w:t>
      </w:r>
      <w:r>
        <w:rPr>
          <w:rFonts w:hint="eastAsia" w:ascii="仿宋_GB2312" w:hAnsi="仿宋_GB2312" w:eastAsia="仿宋_GB2312" w:cs="仿宋_GB2312"/>
          <w:color w:val="000000"/>
          <w:sz w:val="32"/>
          <w:szCs w:val="32"/>
        </w:rPr>
        <w:t>基站数4项指标完成情况，“双千兆”建设方面的典型做法和案例等。</w:t>
      </w:r>
    </w:p>
    <w:p>
      <w:pPr>
        <w:autoSpaceDE w:val="0"/>
        <w:spacing w:line="560" w:lineRule="exact"/>
        <w:ind w:firstLine="640" w:firstLineChars="200"/>
        <w:rPr>
          <w:rFonts w:ascii="仿宋_GB2312" w:hAnsi="仿宋_GB2312" w:eastAsia="仿宋_GB2312" w:cs="仿宋_GB2312"/>
          <w:color w:val="000000"/>
          <w:sz w:val="32"/>
          <w:szCs w:val="32"/>
        </w:rPr>
      </w:pPr>
      <w:r>
        <w:rPr>
          <w:rFonts w:hint="eastAsia" w:ascii="楷体" w:hAnsi="楷体" w:eastAsia="楷体" w:cs="楷体"/>
          <w:color w:val="000000"/>
          <w:sz w:val="32"/>
          <w:szCs w:val="32"/>
        </w:rPr>
        <w:t>（二）“双千兆”用户发展情况。</w:t>
      </w:r>
      <w:r>
        <w:rPr>
          <w:rFonts w:hint="eastAsia" w:ascii="仿宋_GB2312" w:hAnsi="仿宋_GB2312" w:eastAsia="仿宋_GB2312" w:cs="仿宋_GB2312"/>
          <w:color w:val="000000"/>
          <w:sz w:val="32"/>
          <w:szCs w:val="32"/>
        </w:rPr>
        <w:t>包括500Mbps及以上用户占比、1000Mbps用户数、</w:t>
      </w:r>
      <w:r>
        <w:rPr>
          <w:rFonts w:hint="eastAsia" w:ascii="仿宋_GB2312" w:hAnsi="仿宋" w:eastAsia="仿宋_GB2312" w:cs="仿宋"/>
          <w:color w:val="070707"/>
          <w:sz w:val="32"/>
          <w:szCs w:val="32"/>
        </w:rPr>
        <w:t>5G</w:t>
      </w:r>
      <w:r>
        <w:rPr>
          <w:rFonts w:hint="eastAsia" w:ascii="仿宋_GB2312" w:hAnsi="仿宋_GB2312" w:eastAsia="仿宋_GB2312" w:cs="仿宋_GB2312"/>
          <w:color w:val="000000"/>
          <w:sz w:val="32"/>
          <w:szCs w:val="32"/>
        </w:rPr>
        <w:t>用户占比3项指标完成情况，“双千兆”用户推广方面的典型做法和案例等。</w:t>
      </w:r>
    </w:p>
    <w:p>
      <w:pPr>
        <w:spacing w:line="560" w:lineRule="exact"/>
        <w:ind w:firstLine="640" w:firstLineChars="200"/>
        <w:rPr>
          <w:rFonts w:ascii="仿宋_GB2312" w:hAnsi="仿宋_GB2312" w:eastAsia="仿宋_GB2312" w:cs="仿宋_GB2312"/>
          <w:color w:val="000000"/>
          <w:sz w:val="32"/>
          <w:szCs w:val="32"/>
        </w:rPr>
      </w:pPr>
      <w:r>
        <w:rPr>
          <w:rFonts w:hint="eastAsia" w:ascii="楷体" w:hAnsi="楷体" w:eastAsia="楷体" w:cs="楷体"/>
          <w:color w:val="000000"/>
          <w:sz w:val="32"/>
          <w:szCs w:val="32"/>
        </w:rPr>
        <w:t>（三）“双千兆”应用创新情况。</w:t>
      </w:r>
      <w:r>
        <w:rPr>
          <w:rFonts w:hint="eastAsia" w:ascii="仿宋_GB2312" w:hAnsi="仿宋_GB2312" w:eastAsia="仿宋_GB2312" w:cs="仿宋_GB2312"/>
          <w:color w:val="000000"/>
          <w:sz w:val="32"/>
          <w:szCs w:val="32"/>
        </w:rPr>
        <w:t>包括在信息消费、垂直行业、社会民生、数字政府等领域“双千兆”协同应用情况，解决领域难点、痛点、堵点等问题情况，对更多行业和企业具有借鉴和推广价值的应用模式和经验。</w:t>
      </w:r>
    </w:p>
    <w:p>
      <w:pPr>
        <w:spacing w:line="560" w:lineRule="exact"/>
        <w:ind w:firstLine="640" w:firstLineChars="200"/>
        <w:rPr>
          <w:rFonts w:ascii="仿宋_GB2312" w:hAnsi="仿宋_GB2312" w:eastAsia="仿宋_GB2312" w:cs="仿宋_GB2312"/>
          <w:color w:val="000000"/>
          <w:sz w:val="32"/>
          <w:szCs w:val="32"/>
        </w:rPr>
      </w:pPr>
      <w:r>
        <w:rPr>
          <w:rFonts w:hint="eastAsia" w:ascii="楷体" w:hAnsi="楷体" w:eastAsia="楷体" w:cs="楷体"/>
          <w:color w:val="000000"/>
          <w:sz w:val="32"/>
          <w:szCs w:val="32"/>
        </w:rPr>
        <w:t>（四）地区“双千兆”发展政策支持情况。</w:t>
      </w:r>
      <w:r>
        <w:rPr>
          <w:rFonts w:hint="eastAsia" w:ascii="仿宋_GB2312" w:hAnsi="仿宋_GB2312" w:eastAsia="仿宋_GB2312" w:cs="仿宋_GB2312"/>
          <w:color w:val="000000"/>
          <w:sz w:val="32"/>
          <w:szCs w:val="32"/>
        </w:rPr>
        <w:t>所在区县对于“双千兆”发展制定的相关政策文件。</w:t>
      </w:r>
    </w:p>
    <w:p>
      <w:pPr>
        <w:spacing w:line="560" w:lineRule="exact"/>
        <w:jc w:val="center"/>
        <w:rPr>
          <w:rFonts w:ascii="黑体" w:eastAsia="黑体"/>
          <w:sz w:val="32"/>
          <w:szCs w:val="30"/>
        </w:rPr>
      </w:pPr>
      <w:r>
        <w:rPr>
          <w:rFonts w:hint="eastAsia" w:ascii="黑体" w:eastAsia="黑体"/>
          <w:sz w:val="32"/>
          <w:szCs w:val="30"/>
        </w:rPr>
        <w:t>第三章  工作程序</w:t>
      </w:r>
    </w:p>
    <w:p>
      <w:pPr>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sz w:val="32"/>
          <w:szCs w:val="30"/>
        </w:rPr>
        <w:t>第三条</w:t>
      </w:r>
      <w:r>
        <w:rPr>
          <w:rFonts w:ascii="黑体" w:hAnsi="黑体" w:eastAsia="黑体" w:cs="黑体"/>
          <w:sz w:val="32"/>
          <w:szCs w:val="30"/>
        </w:rPr>
        <w:t xml:space="preserve"> </w:t>
      </w:r>
      <w:r>
        <w:rPr>
          <w:rFonts w:hint="eastAsia" w:ascii="仿宋_GB2312" w:hAnsi="仿宋_GB2312" w:eastAsia="仿宋_GB2312" w:cs="仿宋_GB2312"/>
          <w:color w:val="000000"/>
          <w:sz w:val="32"/>
          <w:szCs w:val="32"/>
        </w:rPr>
        <w:t>区县人民政府负责所在区县的申报工作，市推进通信基础设施建设工作领导小组办公室负责开展千兆城市示范区</w:t>
      </w:r>
      <w:r>
        <w:rPr>
          <w:rFonts w:hint="eastAsia" w:ascii="仿宋_GB2312" w:hAnsi="仿宋" w:eastAsia="仿宋_GB2312" w:cs="仿宋"/>
          <w:color w:val="070707"/>
          <w:sz w:val="32"/>
          <w:szCs w:val="32"/>
        </w:rPr>
        <w:t>（县）</w:t>
      </w:r>
      <w:r>
        <w:rPr>
          <w:rFonts w:hint="eastAsia" w:ascii="仿宋_GB2312" w:hAnsi="仿宋_GB2312" w:eastAsia="仿宋_GB2312" w:cs="仿宋_GB2312"/>
          <w:color w:val="000000"/>
          <w:sz w:val="32"/>
          <w:szCs w:val="32"/>
        </w:rPr>
        <w:t>评估工作。</w:t>
      </w:r>
    </w:p>
    <w:p>
      <w:pPr>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sz w:val="32"/>
          <w:szCs w:val="30"/>
        </w:rPr>
        <w:t xml:space="preserve">第四条 </w:t>
      </w:r>
      <w:r>
        <w:rPr>
          <w:rFonts w:ascii="黑体" w:hAnsi="黑体" w:eastAsia="黑体" w:cs="黑体"/>
          <w:sz w:val="32"/>
          <w:szCs w:val="30"/>
        </w:rPr>
        <w:t xml:space="preserve"> </w:t>
      </w:r>
      <w:r>
        <w:rPr>
          <w:rFonts w:hint="eastAsia" w:ascii="仿宋_GB2312" w:hAnsi="仿宋_GB2312" w:eastAsia="仿宋_GB2312" w:cs="仿宋_GB2312"/>
          <w:color w:val="000000"/>
          <w:sz w:val="32"/>
          <w:szCs w:val="32"/>
        </w:rPr>
        <w:t>申报单位需提交下列材料：</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（一）济南市千兆城市示范区</w:t>
      </w:r>
      <w:r>
        <w:rPr>
          <w:rFonts w:hint="eastAsia" w:ascii="仿宋_GB2312" w:hAnsi="仿宋" w:eastAsia="仿宋_GB2312" w:cs="仿宋"/>
          <w:color w:val="070707"/>
          <w:sz w:val="32"/>
          <w:szCs w:val="32"/>
        </w:rPr>
        <w:t>（县）</w:t>
      </w:r>
      <w:r>
        <w:rPr>
          <w:rFonts w:hint="eastAsia" w:ascii="仿宋_GB2312" w:hAnsi="仿宋_GB2312" w:eastAsia="仿宋_GB2312" w:cs="仿宋_GB2312"/>
          <w:color w:val="000000"/>
          <w:sz w:val="32"/>
          <w:szCs w:val="32"/>
          <w:lang w:eastAsia="zh-CN"/>
        </w:rPr>
        <w:t>建设评估报告</w:t>
      </w:r>
      <w:r>
        <w:rPr>
          <w:rFonts w:hint="eastAsia" w:ascii="仿宋_GB2312" w:hAnsi="仿宋_GB2312" w:eastAsia="仿宋_GB2312" w:cs="仿宋_GB2312"/>
          <w:color w:val="000000"/>
          <w:sz w:val="32"/>
          <w:szCs w:val="32"/>
        </w:rPr>
        <w:t>；</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（二）申报单位所在地政府落实相关扶持政策证明文件，以及申报通知要求提供的其他材料。</w:t>
      </w:r>
    </w:p>
    <w:p>
      <w:pPr>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sz w:val="32"/>
          <w:szCs w:val="30"/>
        </w:rPr>
        <w:t xml:space="preserve">第五条 </w:t>
      </w:r>
      <w:r>
        <w:rPr>
          <w:rFonts w:hint="eastAsia" w:ascii="仿宋_GB2312" w:hAnsi="仿宋_GB2312" w:eastAsia="仿宋_GB2312" w:cs="仿宋_GB2312"/>
          <w:color w:val="000000"/>
          <w:sz w:val="32"/>
          <w:szCs w:val="32"/>
        </w:rPr>
        <w:t>市推进通信基础设施建设工作领导小组办公室组织专家对申报材料进行评估评审和实地考察，遴选认定符合要求的区县，并公示5个工作日。</w:t>
      </w:r>
    </w:p>
    <w:p>
      <w:pPr>
        <w:spacing w:line="560" w:lineRule="exact"/>
        <w:ind w:firstLine="640" w:firstLineChars="200"/>
        <w:rPr>
          <w:rFonts w:ascii="仿宋_GB2312" w:eastAsia="仿宋_GB2312"/>
          <w:sz w:val="32"/>
          <w:szCs w:val="32"/>
        </w:rPr>
      </w:pPr>
      <w:r>
        <w:rPr>
          <w:rFonts w:hint="eastAsia" w:ascii="黑体" w:hAnsi="黑体" w:eastAsia="黑体" w:cs="黑体"/>
          <w:sz w:val="32"/>
          <w:szCs w:val="30"/>
        </w:rPr>
        <w:t xml:space="preserve">第六条 </w:t>
      </w:r>
      <w:r>
        <w:rPr>
          <w:rFonts w:ascii="黑体" w:hAnsi="黑体" w:eastAsia="黑体" w:cs="黑体"/>
          <w:sz w:val="32"/>
          <w:szCs w:val="30"/>
        </w:rPr>
        <w:t xml:space="preserve"> </w:t>
      </w:r>
      <w:r>
        <w:rPr>
          <w:rFonts w:hint="eastAsia" w:ascii="仿宋_GB2312" w:eastAsia="仿宋_GB2312"/>
          <w:sz w:val="32"/>
          <w:szCs w:val="32"/>
        </w:rPr>
        <w:t>对评审合格、经公示无异议的区县，授予“济南市千兆城市示范区</w:t>
      </w:r>
      <w:r>
        <w:rPr>
          <w:rFonts w:hint="eastAsia" w:ascii="仿宋_GB2312" w:hAnsi="仿宋" w:eastAsia="仿宋_GB2312" w:cs="仿宋"/>
          <w:color w:val="070707"/>
          <w:sz w:val="32"/>
          <w:szCs w:val="32"/>
        </w:rPr>
        <w:t>（县）</w:t>
      </w:r>
      <w:r>
        <w:rPr>
          <w:rFonts w:hint="eastAsia" w:ascii="仿宋_GB2312" w:eastAsia="仿宋_GB2312"/>
          <w:sz w:val="32"/>
          <w:szCs w:val="32"/>
        </w:rPr>
        <w:t>”称号。</w:t>
      </w:r>
    </w:p>
    <w:p>
      <w:pPr>
        <w:spacing w:line="560" w:lineRule="exact"/>
        <w:jc w:val="center"/>
        <w:rPr>
          <w:rFonts w:ascii="黑体" w:eastAsia="黑体"/>
          <w:sz w:val="32"/>
          <w:szCs w:val="30"/>
        </w:rPr>
      </w:pPr>
      <w:r>
        <w:rPr>
          <w:rFonts w:hint="eastAsia" w:ascii="黑体" w:eastAsia="黑体"/>
          <w:sz w:val="32"/>
          <w:szCs w:val="30"/>
        </w:rPr>
        <w:t>第四章  附  则</w:t>
      </w:r>
    </w:p>
    <w:p>
      <w:pPr>
        <w:spacing w:line="560" w:lineRule="exact"/>
        <w:ind w:firstLine="640" w:firstLineChars="200"/>
        <w:rPr>
          <w:rFonts w:ascii="方正仿宋_GBK" w:hAnsi="方正仿宋_GBK" w:eastAsia="方正仿宋_GBK" w:cs="仿宋_GB2312"/>
          <w:color w:val="000000"/>
          <w:sz w:val="32"/>
          <w:szCs w:val="32"/>
        </w:rPr>
      </w:pPr>
      <w:r>
        <w:rPr>
          <w:rFonts w:hint="eastAsia" w:ascii="黑体" w:hAnsi="黑体" w:eastAsia="黑体" w:cs="黑体"/>
          <w:sz w:val="32"/>
          <w:szCs w:val="30"/>
        </w:rPr>
        <w:t>第七条</w:t>
      </w:r>
      <w:r>
        <w:rPr>
          <w:rFonts w:hint="eastAsia" w:ascii="仿宋_GB2312" w:eastAsia="仿宋_GB2312"/>
          <w:sz w:val="32"/>
          <w:szCs w:val="30"/>
        </w:rPr>
        <w:t xml:space="preserve">  本指南自202</w:t>
      </w:r>
      <w:r>
        <w:rPr>
          <w:rFonts w:hint="eastAsia" w:ascii="仿宋_GB2312" w:eastAsia="仿宋_GB2312"/>
          <w:sz w:val="32"/>
          <w:szCs w:val="30"/>
          <w:lang w:val="en-US" w:eastAsia="zh-CN"/>
        </w:rPr>
        <w:t>4</w:t>
      </w:r>
      <w:r>
        <w:rPr>
          <w:rFonts w:hint="eastAsia" w:ascii="仿宋_GB2312" w:eastAsia="仿宋_GB2312"/>
          <w:sz w:val="32"/>
          <w:szCs w:val="30"/>
        </w:rPr>
        <w:t>年</w:t>
      </w:r>
      <w:r>
        <w:rPr>
          <w:rFonts w:ascii="仿宋_GB2312" w:eastAsia="仿宋_GB2312"/>
          <w:sz w:val="32"/>
          <w:szCs w:val="30"/>
        </w:rPr>
        <w:t>1</w:t>
      </w:r>
      <w:r>
        <w:rPr>
          <w:rFonts w:hint="eastAsia" w:ascii="仿宋_GB2312" w:eastAsia="仿宋_GB2312"/>
          <w:sz w:val="32"/>
          <w:szCs w:val="30"/>
        </w:rPr>
        <w:t>月</w:t>
      </w:r>
      <w:r>
        <w:rPr>
          <w:rFonts w:ascii="仿宋_GB2312" w:eastAsia="仿宋_GB2312"/>
          <w:sz w:val="32"/>
          <w:szCs w:val="30"/>
        </w:rPr>
        <w:t>1</w:t>
      </w:r>
      <w:r>
        <w:rPr>
          <w:rFonts w:hint="eastAsia" w:ascii="仿宋_GB2312" w:eastAsia="仿宋_GB2312"/>
          <w:sz w:val="32"/>
          <w:szCs w:val="30"/>
        </w:rPr>
        <w:t>日起实施。</w:t>
      </w:r>
    </w:p>
    <w:p>
      <w:pPr>
        <w:spacing w:line="560" w:lineRule="exact"/>
        <w:ind w:firstLine="640" w:firstLineChars="200"/>
        <w:rPr>
          <w:rFonts w:ascii="仿宋_GB2312" w:eastAsia="仿宋_GB2312"/>
          <w:sz w:val="32"/>
          <w:szCs w:val="30"/>
        </w:rPr>
      </w:pPr>
      <w:r>
        <w:rPr>
          <w:rFonts w:hint="eastAsia" w:ascii="仿宋_GB2312" w:eastAsia="仿宋_GB2312"/>
          <w:sz w:val="32"/>
          <w:szCs w:val="30"/>
        </w:rPr>
        <w:t>本指南由市推进通信基础设施建设工作领导小组办公室负责</w:t>
      </w:r>
      <w:r>
        <w:rPr>
          <w:rFonts w:ascii="仿宋_GB2312" w:eastAsia="仿宋_GB2312"/>
          <w:sz w:val="32"/>
          <w:szCs w:val="30"/>
        </w:rPr>
        <w:t>解释。</w:t>
      </w:r>
    </w:p>
    <w:p>
      <w:pPr>
        <w:widowControl/>
        <w:jc w:val="left"/>
        <w:rPr>
          <w:rFonts w:hint="eastAsia" w:ascii="仿宋_GB2312" w:eastAsia="仿宋_GB2312"/>
          <w:sz w:val="32"/>
          <w:szCs w:val="30"/>
        </w:rPr>
      </w:pPr>
      <w:r>
        <w:rPr>
          <w:rFonts w:ascii="仿宋_GB2312" w:eastAsia="仿宋_GB2312"/>
          <w:sz w:val="32"/>
          <w:szCs w:val="30"/>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2YTIzNjFiYjA4MmE1N2JkYWQzYWM5YzAyZTA0MjAifQ=="/>
  </w:docVars>
  <w:rsids>
    <w:rsidRoot w:val="6B823E22"/>
    <w:rsid w:val="6B823E22"/>
    <w:rsid w:val="74125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2024-04-03T08:56:00Z</dcterms:created>
  <dc:creator>姚昱轩</dc:creator>
  <cp:lastModifiedBy>姚昱轩</cp:lastModifiedBy>
  <dcterms:modified xsi:type="dcterms:W3CDTF">2024-04-03T08:56:27Z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A1C971935B0845668A1C3E029C630F66_11</vt:lpwstr>
  </property>
</Properties>
</file>