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sz w:val="32"/>
          <w:szCs w:val="32"/>
        </w:rPr>
      </w:pPr>
      <w:bookmarkStart w:id="1" w:name="_GoBack"/>
      <w:r>
        <w:rPr>
          <w:rFonts w:ascii="黑体" w:hAnsi="黑体" w:eastAsia="黑体"/>
          <w:sz w:val="32"/>
          <w:szCs w:val="32"/>
        </w:rPr>
        <w:t>附件3</w:t>
      </w: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5" w:lineRule="auto"/>
        <w:rPr>
          <w:rFonts w:ascii="Arial"/>
        </w:rPr>
      </w:pPr>
    </w:p>
    <w:p>
      <w:pPr>
        <w:spacing w:line="245" w:lineRule="auto"/>
        <w:rPr>
          <w:rFonts w:ascii="Arial"/>
        </w:rPr>
      </w:pPr>
    </w:p>
    <w:p>
      <w:pPr>
        <w:spacing w:before="137" w:line="222" w:lineRule="auto"/>
        <w:jc w:val="center"/>
        <w:rPr>
          <w:rFonts w:ascii="方正小标宋简体" w:hAnsi="方正小标宋简体" w:eastAsia="方正小标宋简体" w:cs="方正小标宋简体"/>
          <w:spacing w:val="10"/>
          <w:sz w:val="44"/>
          <w:szCs w:val="44"/>
        </w:rPr>
      </w:pPr>
      <w:r>
        <w:rPr>
          <w:rFonts w:hint="eastAsia" w:ascii="方正小标宋简体" w:hAnsi="方正小标宋简体" w:eastAsia="方正小标宋简体" w:cs="方正小标宋简体"/>
          <w:spacing w:val="10"/>
          <w:sz w:val="44"/>
          <w:szCs w:val="44"/>
        </w:rPr>
        <w:t>济南市千兆城市示范区（县）建设评估报告</w:t>
      </w:r>
    </w:p>
    <w:bookmarkEnd w:id="1"/>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spacing w:before="104" w:line="221" w:lineRule="auto"/>
        <w:ind w:firstLine="1369"/>
        <w:rPr>
          <w:rFonts w:ascii="仿宋" w:hAnsi="仿宋" w:eastAsia="仿宋" w:cs="仿宋"/>
          <w:spacing w:val="-5"/>
          <w:sz w:val="32"/>
          <w:szCs w:val="32"/>
        </w:rPr>
      </w:pPr>
    </w:p>
    <w:p>
      <w:pPr>
        <w:spacing w:before="104" w:line="221" w:lineRule="auto"/>
        <w:ind w:firstLine="1369"/>
        <w:rPr>
          <w:rFonts w:ascii="仿宋" w:hAnsi="仿宋" w:eastAsia="仿宋" w:cs="仿宋"/>
          <w:spacing w:val="-5"/>
          <w:sz w:val="32"/>
          <w:szCs w:val="32"/>
        </w:rPr>
      </w:pPr>
    </w:p>
    <w:p>
      <w:pPr>
        <w:spacing w:before="104" w:line="221" w:lineRule="auto"/>
        <w:ind w:firstLine="1369"/>
        <w:rPr>
          <w:rFonts w:ascii="仿宋" w:hAnsi="仿宋" w:eastAsia="仿宋" w:cs="仿宋"/>
          <w:spacing w:val="-5"/>
          <w:sz w:val="32"/>
          <w:szCs w:val="32"/>
        </w:rPr>
      </w:pPr>
    </w:p>
    <w:p>
      <w:pPr>
        <w:spacing w:before="104" w:line="221" w:lineRule="auto"/>
        <w:ind w:firstLine="1369"/>
        <w:rPr>
          <w:rFonts w:ascii="仿宋" w:hAnsi="仿宋" w:eastAsia="仿宋" w:cs="仿宋"/>
          <w:spacing w:val="-5"/>
          <w:sz w:val="32"/>
          <w:szCs w:val="32"/>
        </w:rPr>
      </w:pPr>
    </w:p>
    <w:p>
      <w:pPr>
        <w:spacing w:before="104" w:line="221" w:lineRule="auto"/>
        <w:ind w:firstLine="1369"/>
        <w:rPr>
          <w:rFonts w:ascii="仿宋" w:hAnsi="仿宋" w:eastAsia="仿宋" w:cs="仿宋"/>
          <w:spacing w:val="-5"/>
          <w:sz w:val="32"/>
          <w:szCs w:val="32"/>
        </w:rPr>
      </w:pPr>
    </w:p>
    <w:p>
      <w:pPr>
        <w:spacing w:before="104" w:line="221" w:lineRule="auto"/>
        <w:ind w:firstLine="1369"/>
        <w:rPr>
          <w:rFonts w:ascii="仿宋" w:hAnsi="仿宋" w:eastAsia="仿宋" w:cs="仿宋"/>
          <w:spacing w:val="-5"/>
          <w:sz w:val="32"/>
          <w:szCs w:val="32"/>
        </w:rPr>
      </w:pPr>
    </w:p>
    <w:p>
      <w:pPr>
        <w:spacing w:before="136" w:line="227" w:lineRule="auto"/>
        <w:ind w:firstLine="1813" w:firstLineChars="700"/>
        <w:rPr>
          <w:rFonts w:ascii="黑体" w:hAnsi="黑体" w:eastAsia="黑体" w:cs="仿宋_GB2312"/>
          <w:spacing w:val="-19"/>
          <w:w w:val="93"/>
          <w:sz w:val="32"/>
          <w:szCs w:val="32"/>
        </w:rPr>
      </w:pPr>
      <w:r>
        <w:rPr>
          <w:rFonts w:hint="eastAsia" w:ascii="黑体" w:hAnsi="黑体" w:eastAsia="黑体" w:cs="仿宋_GB2312"/>
          <w:spacing w:val="-19"/>
          <w:w w:val="93"/>
          <w:sz w:val="32"/>
          <w:szCs w:val="32"/>
        </w:rPr>
        <w:t>填报单位</w:t>
      </w:r>
      <w:r>
        <w:rPr>
          <w:rFonts w:ascii="黑体" w:hAnsi="黑体" w:eastAsia="黑体" w:cs="仿宋_GB2312"/>
          <w:spacing w:val="-19"/>
          <w:w w:val="93"/>
          <w:sz w:val="32"/>
          <w:szCs w:val="32"/>
        </w:rPr>
        <w:t xml:space="preserve">: </w:t>
      </w:r>
      <w:r>
        <w:rPr>
          <w:rFonts w:ascii="黑体" w:hAnsi="黑体" w:eastAsia="黑体" w:cs="仿宋_GB2312"/>
          <w:spacing w:val="-19"/>
          <w:w w:val="93"/>
          <w:sz w:val="32"/>
          <w:szCs w:val="32"/>
          <w:u w:val="single"/>
        </w:rPr>
        <w:t xml:space="preserve">                             </w:t>
      </w:r>
      <w:r>
        <w:rPr>
          <w:rFonts w:ascii="黑体" w:hAnsi="黑体" w:eastAsia="黑体" w:cs="仿宋_GB2312"/>
          <w:spacing w:val="-19"/>
          <w:w w:val="93"/>
          <w:sz w:val="32"/>
          <w:szCs w:val="32"/>
        </w:rPr>
        <w:t xml:space="preserve">  </w:t>
      </w:r>
    </w:p>
    <w:p>
      <w:pPr>
        <w:spacing w:before="136" w:line="227" w:lineRule="auto"/>
        <w:ind w:firstLine="1813" w:firstLineChars="700"/>
        <w:rPr>
          <w:rFonts w:ascii="黑体" w:hAnsi="黑体" w:eastAsia="黑体" w:cs="仿宋_GB2312"/>
          <w:spacing w:val="-19"/>
          <w:w w:val="93"/>
          <w:sz w:val="32"/>
          <w:szCs w:val="32"/>
        </w:rPr>
      </w:pPr>
    </w:p>
    <w:p>
      <w:pPr>
        <w:spacing w:before="136" w:line="227" w:lineRule="auto"/>
        <w:ind w:firstLine="1813" w:firstLineChars="700"/>
        <w:rPr>
          <w:rFonts w:ascii="黑体" w:hAnsi="黑体" w:eastAsia="黑体" w:cs="仿宋_GB2312"/>
          <w:spacing w:val="-19"/>
          <w:w w:val="93"/>
          <w:sz w:val="32"/>
          <w:szCs w:val="32"/>
        </w:rPr>
      </w:pPr>
      <w:r>
        <w:rPr>
          <w:rFonts w:hint="eastAsia" w:ascii="黑体" w:hAnsi="黑体" w:eastAsia="黑体" w:cs="仿宋_GB2312"/>
          <w:spacing w:val="-19"/>
          <w:w w:val="93"/>
          <w:sz w:val="32"/>
          <w:szCs w:val="32"/>
        </w:rPr>
        <w:t>填报日期</w:t>
      </w:r>
      <w:r>
        <w:rPr>
          <w:rFonts w:ascii="黑体" w:hAnsi="黑体" w:eastAsia="黑体" w:cs="仿宋_GB2312"/>
          <w:spacing w:val="-19"/>
          <w:w w:val="93"/>
          <w:sz w:val="32"/>
          <w:szCs w:val="32"/>
        </w:rPr>
        <w:t xml:space="preserve">:   </w:t>
      </w:r>
      <w:r>
        <w:rPr>
          <w:rFonts w:hint="eastAsia" w:ascii="黑体" w:hAnsi="黑体" w:eastAsia="黑体" w:cs="仿宋_GB2312"/>
          <w:spacing w:val="-19"/>
          <w:w w:val="93"/>
          <w:sz w:val="32"/>
          <w:szCs w:val="32"/>
        </w:rPr>
        <w:t xml:space="preserve">   年</w:t>
      </w:r>
      <w:r>
        <w:rPr>
          <w:rFonts w:ascii="黑体" w:hAnsi="黑体" w:eastAsia="黑体" w:cs="仿宋_GB2312"/>
          <w:spacing w:val="-19"/>
          <w:w w:val="93"/>
          <w:sz w:val="32"/>
          <w:szCs w:val="32"/>
        </w:rPr>
        <w:t xml:space="preserve">    </w:t>
      </w:r>
      <w:r>
        <w:rPr>
          <w:rFonts w:hint="eastAsia" w:ascii="黑体" w:hAnsi="黑体" w:eastAsia="黑体" w:cs="仿宋_GB2312"/>
          <w:spacing w:val="-19"/>
          <w:w w:val="93"/>
          <w:sz w:val="32"/>
          <w:szCs w:val="32"/>
        </w:rPr>
        <w:t>月</w:t>
      </w:r>
      <w:r>
        <w:rPr>
          <w:rFonts w:ascii="黑体" w:hAnsi="黑体" w:eastAsia="黑体" w:cs="仿宋_GB2312"/>
          <w:spacing w:val="-19"/>
          <w:w w:val="93"/>
          <w:sz w:val="32"/>
          <w:szCs w:val="32"/>
        </w:rPr>
        <w:t xml:space="preserve">     </w:t>
      </w:r>
      <w:r>
        <w:rPr>
          <w:rFonts w:hint="eastAsia" w:ascii="黑体" w:hAnsi="黑体" w:eastAsia="黑体" w:cs="仿宋_GB2312"/>
          <w:spacing w:val="-19"/>
          <w:w w:val="93"/>
          <w:sz w:val="32"/>
          <w:szCs w:val="32"/>
        </w:rPr>
        <w:t>日</w:t>
      </w:r>
    </w:p>
    <w:p>
      <w:pPr>
        <w:sectPr>
          <w:footerReference r:id="rId3" w:type="default"/>
          <w:pgSz w:w="11920" w:h="16840"/>
          <w:pgMar w:top="1418" w:right="1418" w:bottom="1418" w:left="1418" w:header="0" w:footer="987" w:gutter="0"/>
          <w:pgNumType w:fmt="decimal"/>
          <w:cols w:space="720" w:num="1"/>
        </w:sectPr>
      </w:pPr>
    </w:p>
    <w:p>
      <w:pPr>
        <w:spacing w:line="328" w:lineRule="auto"/>
        <w:rPr>
          <w:rFonts w:ascii="Arial"/>
        </w:rPr>
      </w:pPr>
    </w:p>
    <w:p>
      <w:pPr>
        <w:spacing w:before="137" w:line="221" w:lineRule="auto"/>
        <w:ind w:firstLine="3395"/>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7"/>
          <w:sz w:val="44"/>
          <w:szCs w:val="44"/>
          <w14:textOutline w14:w="7632" w14:cap="flat" w14:cmpd="sng" w14:algn="ctr">
            <w14:solidFill>
              <w14:srgbClr w14:val="000000"/>
            </w14:solidFill>
            <w14:prstDash w14:val="solid"/>
            <w14:miter w14:val="0"/>
          </w14:textOutline>
        </w:rPr>
        <w:t>承诺申明</w:t>
      </w:r>
    </w:p>
    <w:p>
      <w:pPr>
        <w:spacing w:line="261" w:lineRule="auto"/>
        <w:rPr>
          <w:rFonts w:ascii="Arial"/>
        </w:rPr>
      </w:pPr>
    </w:p>
    <w:p>
      <w:pPr>
        <w:spacing w:line="261" w:lineRule="auto"/>
        <w:rPr>
          <w:rFonts w:ascii="Arial"/>
        </w:rPr>
      </w:pPr>
    </w:p>
    <w:p>
      <w:pPr>
        <w:spacing w:line="261" w:lineRule="auto"/>
        <w:rPr>
          <w:rFonts w:ascii="Arial"/>
        </w:rPr>
      </w:pPr>
    </w:p>
    <w:p>
      <w:pPr>
        <w:spacing w:line="540" w:lineRule="exact"/>
        <w:ind w:firstLine="640"/>
        <w:rPr>
          <w:rFonts w:ascii="仿宋_GB2312" w:eastAsia="仿宋_GB2312"/>
          <w:sz w:val="32"/>
          <w:szCs w:val="32"/>
        </w:rPr>
      </w:pPr>
      <w:r>
        <w:rPr>
          <w:rFonts w:hint="eastAsia" w:ascii="仿宋_GB2312" w:eastAsia="仿宋_GB2312"/>
          <w:sz w:val="32"/>
          <w:szCs w:val="32"/>
        </w:rPr>
        <w:t>我单位填报的所有材料，</w:t>
      </w:r>
      <w:r>
        <w:rPr>
          <w:rFonts w:ascii="仿宋_GB2312" w:eastAsia="仿宋_GB2312"/>
          <w:sz w:val="32"/>
          <w:szCs w:val="32"/>
        </w:rPr>
        <w:t>均真实、完整</w:t>
      </w:r>
      <w:r>
        <w:rPr>
          <w:rFonts w:hint="eastAsia" w:ascii="仿宋_GB2312" w:eastAsia="仿宋_GB2312"/>
          <w:sz w:val="32"/>
          <w:szCs w:val="32"/>
          <w:lang w:eastAsia="zh-CN"/>
        </w:rPr>
        <w:t>，</w:t>
      </w:r>
      <w:r>
        <w:rPr>
          <w:rFonts w:ascii="仿宋_GB2312" w:eastAsia="仿宋_GB2312"/>
          <w:sz w:val="32"/>
          <w:szCs w:val="32"/>
        </w:rPr>
        <w:t>如有不实</w:t>
      </w:r>
      <w:r>
        <w:rPr>
          <w:rFonts w:hint="eastAsia" w:ascii="仿宋_GB2312" w:eastAsia="仿宋_GB2312"/>
          <w:sz w:val="32"/>
          <w:szCs w:val="32"/>
        </w:rPr>
        <w:t>，</w:t>
      </w:r>
      <w:r>
        <w:rPr>
          <w:rFonts w:ascii="仿宋_GB2312" w:eastAsia="仿宋_GB2312"/>
          <w:sz w:val="32"/>
          <w:szCs w:val="32"/>
        </w:rPr>
        <w:t>愿</w:t>
      </w:r>
      <w:r>
        <w:rPr>
          <w:rFonts w:hint="eastAsia" w:ascii="仿宋_GB2312" w:eastAsia="仿宋_GB2312"/>
          <w:sz w:val="32"/>
          <w:szCs w:val="32"/>
        </w:rPr>
        <w:t>承担相应的责任。</w:t>
      </w:r>
    </w:p>
    <w:p>
      <w:pPr>
        <w:spacing w:line="540" w:lineRule="exact"/>
        <w:ind w:firstLine="640"/>
        <w:rPr>
          <w:rFonts w:ascii="仿宋_GB2312" w:eastAsia="仿宋_GB2312"/>
          <w:sz w:val="32"/>
          <w:szCs w:val="32"/>
        </w:rPr>
      </w:pPr>
      <w:r>
        <w:rPr>
          <w:rFonts w:hint="eastAsia" w:ascii="仿宋_GB2312" w:eastAsia="仿宋_GB2312"/>
          <w:sz w:val="32"/>
          <w:szCs w:val="32"/>
        </w:rPr>
        <w:t>在不涉及商业机密的情况下，</w:t>
      </w:r>
      <w:r>
        <w:rPr>
          <w:rFonts w:ascii="仿宋_GB2312" w:eastAsia="仿宋_GB2312"/>
          <w:sz w:val="32"/>
          <w:szCs w:val="32"/>
        </w:rPr>
        <w:t>自愿与其他单位分享经验。</w:t>
      </w: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540" w:lineRule="exact"/>
        <w:ind w:firstLine="640"/>
        <w:jc w:val="center"/>
        <w:rPr>
          <w:rFonts w:ascii="黑体" w:hAnsi="黑体" w:eastAsia="黑体"/>
          <w:sz w:val="32"/>
          <w:szCs w:val="32"/>
        </w:rPr>
      </w:pPr>
      <w:r>
        <w:rPr>
          <w:rFonts w:hint="eastAsia" w:ascii="仿宋_GB2312" w:eastAsia="仿宋_GB2312"/>
          <w:sz w:val="32"/>
          <w:szCs w:val="32"/>
        </w:rPr>
        <w:t xml:space="preserve">                          </w:t>
      </w:r>
      <w:r>
        <w:rPr>
          <w:rFonts w:ascii="黑体" w:hAnsi="黑体" w:eastAsia="黑体"/>
          <w:sz w:val="32"/>
          <w:szCs w:val="32"/>
        </w:rPr>
        <w:t>公章:</w:t>
      </w:r>
    </w:p>
    <w:p>
      <w:pPr>
        <w:spacing w:line="540" w:lineRule="exact"/>
        <w:ind w:firstLine="640"/>
        <w:jc w:val="right"/>
        <w:rPr>
          <w:rFonts w:ascii="黑体" w:hAnsi="黑体" w:eastAsia="黑体"/>
          <w:sz w:val="32"/>
          <w:szCs w:val="32"/>
        </w:rPr>
      </w:pPr>
    </w:p>
    <w:p>
      <w:pPr>
        <w:spacing w:line="540" w:lineRule="exact"/>
        <w:ind w:firstLine="640"/>
        <w:jc w:val="right"/>
        <w:rPr>
          <w:rFonts w:ascii="黑体" w:hAnsi="黑体" w:eastAsia="黑体"/>
          <w:sz w:val="32"/>
          <w:szCs w:val="32"/>
        </w:rPr>
      </w:pPr>
    </w:p>
    <w:p>
      <w:pPr>
        <w:spacing w:line="540" w:lineRule="exact"/>
        <w:ind w:firstLine="640"/>
        <w:jc w:val="center"/>
        <w:rPr>
          <w:rFonts w:ascii="黑体" w:hAnsi="黑体" w:eastAsia="黑体"/>
          <w:sz w:val="32"/>
          <w:szCs w:val="32"/>
        </w:rPr>
      </w:pPr>
      <w:r>
        <w:rPr>
          <w:rFonts w:hint="eastAsia" w:ascii="黑体" w:hAnsi="黑体" w:eastAsia="黑体"/>
          <w:sz w:val="32"/>
          <w:szCs w:val="32"/>
        </w:rPr>
        <w:t xml:space="preserve">                               </w:t>
      </w:r>
      <w:r>
        <w:rPr>
          <w:rFonts w:ascii="黑体" w:hAnsi="黑体" w:eastAsia="黑体"/>
          <w:sz w:val="32"/>
          <w:szCs w:val="32"/>
        </w:rPr>
        <w:t>年  月  日</w:t>
      </w:r>
    </w:p>
    <w:p>
      <w:pPr>
        <w:sectPr>
          <w:footerReference r:id="rId4" w:type="default"/>
          <w:pgSz w:w="12140" w:h="16990"/>
          <w:pgMar w:top="1985" w:right="1474" w:bottom="1701" w:left="1644" w:header="0" w:footer="1094" w:gutter="0"/>
          <w:pgNumType w:fmt="decimal"/>
          <w:cols w:space="720" w:num="1"/>
        </w:sectPr>
      </w:pPr>
    </w:p>
    <w:p>
      <w:pPr>
        <w:jc w:val="center"/>
      </w:pPr>
      <w:r>
        <w:rPr>
          <w:rFonts w:ascii="黑体" w:hAnsi="黑体" w:eastAsia="黑体" w:cs="宋体"/>
          <w:spacing w:val="2"/>
          <w:sz w:val="32"/>
          <w:szCs w:val="32"/>
        </w:rPr>
        <w:t>一、基本信息</w:t>
      </w:r>
    </w:p>
    <w:p>
      <w:pPr>
        <w:spacing w:line="52" w:lineRule="exact"/>
      </w:pPr>
    </w:p>
    <w:tbl>
      <w:tblPr>
        <w:tblStyle w:val="7"/>
        <w:tblW w:w="9333" w:type="dxa"/>
        <w:tblInd w:w="-247"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2898"/>
        <w:gridCol w:w="6435"/>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1264" w:hRule="atLeast"/>
        </w:trPr>
        <w:tc>
          <w:tcPr>
            <w:tcW w:w="2898" w:type="dxa"/>
            <w:tcBorders>
              <w:top w:val="single" w:color="000000" w:sz="2" w:space="0"/>
              <w:left w:val="single" w:color="000000" w:sz="4" w:space="0"/>
              <w:bottom w:val="single" w:color="000000" w:sz="2" w:space="0"/>
              <w:right w:val="single" w:color="000000" w:sz="4" w:space="0"/>
            </w:tcBorders>
            <w:vAlign w:val="center"/>
          </w:tcPr>
          <w:p>
            <w:pPr>
              <w:spacing w:before="95" w:line="219" w:lineRule="auto"/>
              <w:ind w:firstLine="95"/>
              <w:jc w:val="center"/>
              <w:rPr>
                <w:rFonts w:ascii="楷体" w:hAnsi="楷体" w:eastAsia="楷体" w:cs="楷体"/>
                <w:sz w:val="31"/>
                <w:szCs w:val="31"/>
              </w:rPr>
            </w:pPr>
            <w:r>
              <w:rPr>
                <w:rFonts w:hint="eastAsia" w:ascii="楷体" w:hAnsi="楷体" w:eastAsia="楷体" w:cs="楷体"/>
                <w:spacing w:val="-1"/>
                <w:sz w:val="31"/>
                <w:szCs w:val="31"/>
              </w:rPr>
              <w:t>申报区县</w:t>
            </w:r>
          </w:p>
        </w:tc>
        <w:tc>
          <w:tcPr>
            <w:tcW w:w="6435" w:type="dxa"/>
            <w:tcBorders>
              <w:top w:val="single" w:color="000000" w:sz="2" w:space="0"/>
              <w:left w:val="single" w:color="000000" w:sz="4" w:space="0"/>
              <w:bottom w:val="single" w:color="000000" w:sz="2" w:space="0"/>
              <w:right w:val="single" w:color="000000" w:sz="4" w:space="0"/>
            </w:tcBorders>
            <w:vAlign w:val="center"/>
          </w:tcPr>
          <w:p>
            <w:pPr>
              <w:jc w:val="center"/>
              <w:rPr>
                <w:rFonts w:ascii="仿宋_GB2312" w:eastAsia="仿宋_GB2312"/>
                <w:sz w:val="31"/>
                <w:szCs w:val="3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286" w:hRule="atLeast"/>
        </w:trPr>
        <w:tc>
          <w:tcPr>
            <w:tcW w:w="2898" w:type="dxa"/>
            <w:tcBorders>
              <w:top w:val="single" w:color="000000" w:sz="2" w:space="0"/>
              <w:left w:val="single" w:color="000000" w:sz="4" w:space="0"/>
              <w:bottom w:val="single" w:color="auto" w:sz="4" w:space="0"/>
              <w:right w:val="single" w:color="000000" w:sz="4" w:space="0"/>
            </w:tcBorders>
            <w:vAlign w:val="center"/>
          </w:tcPr>
          <w:p>
            <w:pPr>
              <w:spacing w:before="95" w:line="219" w:lineRule="auto"/>
              <w:ind w:firstLine="95"/>
              <w:jc w:val="center"/>
              <w:rPr>
                <w:rFonts w:ascii="楷体" w:hAnsi="楷体" w:eastAsia="楷体" w:cs="楷体"/>
                <w:spacing w:val="-1"/>
                <w:sz w:val="31"/>
                <w:szCs w:val="31"/>
              </w:rPr>
            </w:pPr>
            <w:r>
              <w:rPr>
                <w:rFonts w:hint="eastAsia" w:ascii="楷体" w:hAnsi="楷体" w:eastAsia="楷体" w:cs="楷体"/>
                <w:spacing w:val="-1"/>
                <w:sz w:val="31"/>
                <w:szCs w:val="31"/>
              </w:rPr>
              <w:t>自评情况</w:t>
            </w:r>
          </w:p>
        </w:tc>
        <w:tc>
          <w:tcPr>
            <w:tcW w:w="6435" w:type="dxa"/>
            <w:tcBorders>
              <w:top w:val="single" w:color="000000" w:sz="2" w:space="0"/>
              <w:left w:val="single" w:color="000000" w:sz="4" w:space="0"/>
              <w:bottom w:val="single" w:color="000000" w:sz="2" w:space="0"/>
              <w:right w:val="single" w:color="000000" w:sz="4" w:space="0"/>
            </w:tcBorders>
          </w:tcPr>
          <w:p>
            <w:pPr>
              <w:spacing w:line="284" w:lineRule="auto"/>
              <w:rPr>
                <w:rFonts w:ascii="仿宋_GB2312" w:eastAsia="仿宋_GB2312"/>
                <w:i/>
                <w:iCs/>
                <w:sz w:val="31"/>
                <w:szCs w:val="31"/>
              </w:rPr>
            </w:pPr>
          </w:p>
          <w:p>
            <w:pPr>
              <w:spacing w:line="284" w:lineRule="auto"/>
              <w:rPr>
                <w:rFonts w:ascii="仿宋_GB2312" w:eastAsia="仿宋_GB2312"/>
                <w:i/>
                <w:iCs/>
                <w:sz w:val="31"/>
                <w:szCs w:val="31"/>
              </w:rPr>
            </w:pPr>
          </w:p>
          <w:p>
            <w:pPr>
              <w:spacing w:line="284" w:lineRule="auto"/>
              <w:rPr>
                <w:rFonts w:ascii="仿宋_GB2312" w:eastAsia="仿宋_GB2312"/>
                <w:i/>
                <w:iCs/>
                <w:sz w:val="31"/>
                <w:szCs w:val="31"/>
              </w:rPr>
            </w:pPr>
          </w:p>
          <w:p>
            <w:pPr>
              <w:spacing w:line="284" w:lineRule="auto"/>
              <w:rPr>
                <w:rFonts w:ascii="仿宋_GB2312" w:eastAsia="仿宋_GB2312"/>
                <w:i/>
                <w:iCs/>
                <w:sz w:val="31"/>
                <w:szCs w:val="31"/>
              </w:rPr>
            </w:pPr>
          </w:p>
          <w:p>
            <w:pPr>
              <w:spacing w:line="284" w:lineRule="auto"/>
              <w:rPr>
                <w:rFonts w:ascii="仿宋_GB2312" w:eastAsia="仿宋_GB2312"/>
                <w:i/>
                <w:iCs/>
                <w:sz w:val="31"/>
                <w:szCs w:val="31"/>
              </w:rPr>
            </w:pPr>
          </w:p>
          <w:p>
            <w:pPr>
              <w:spacing w:line="284" w:lineRule="auto"/>
              <w:rPr>
                <w:rFonts w:ascii="仿宋_GB2312" w:eastAsia="仿宋_GB2312"/>
                <w:i/>
                <w:iCs/>
                <w:sz w:val="31"/>
                <w:szCs w:val="31"/>
              </w:rPr>
            </w:pPr>
          </w:p>
          <w:p>
            <w:pPr>
              <w:spacing w:line="284" w:lineRule="auto"/>
              <w:rPr>
                <w:rFonts w:ascii="仿宋_GB2312" w:eastAsia="仿宋_GB2312"/>
                <w:i/>
                <w:iCs/>
                <w:sz w:val="31"/>
                <w:szCs w:val="31"/>
              </w:rPr>
            </w:pPr>
          </w:p>
          <w:p>
            <w:pPr>
              <w:spacing w:line="284" w:lineRule="auto"/>
              <w:rPr>
                <w:rFonts w:ascii="仿宋_GB2312" w:eastAsia="仿宋_GB2312"/>
                <w:i/>
                <w:iCs/>
                <w:sz w:val="31"/>
                <w:szCs w:val="31"/>
              </w:rPr>
            </w:pPr>
          </w:p>
          <w:p>
            <w:pPr>
              <w:spacing w:line="284" w:lineRule="auto"/>
              <w:rPr>
                <w:rFonts w:ascii="仿宋_GB2312" w:eastAsia="仿宋_GB2312"/>
                <w:i/>
                <w:iCs/>
                <w:sz w:val="31"/>
                <w:szCs w:val="31"/>
              </w:rPr>
            </w:pPr>
          </w:p>
          <w:p>
            <w:pPr>
              <w:spacing w:line="284" w:lineRule="auto"/>
              <w:rPr>
                <w:rFonts w:ascii="仿宋_GB2312" w:eastAsia="仿宋_GB2312"/>
                <w:i/>
                <w:iCs/>
                <w:sz w:val="31"/>
                <w:szCs w:val="31"/>
              </w:rPr>
            </w:pPr>
          </w:p>
          <w:p>
            <w:pPr>
              <w:spacing w:line="284" w:lineRule="auto"/>
              <w:rPr>
                <w:rFonts w:ascii="仿宋_GB2312" w:eastAsia="仿宋_GB2312"/>
                <w:i/>
                <w:iCs/>
                <w:sz w:val="31"/>
                <w:szCs w:val="31"/>
              </w:rPr>
            </w:pPr>
          </w:p>
          <w:p>
            <w:pPr>
              <w:spacing w:line="284" w:lineRule="auto"/>
              <w:rPr>
                <w:rFonts w:ascii="仿宋_GB2312" w:eastAsia="仿宋_GB2312"/>
                <w:i/>
                <w:iCs/>
                <w:sz w:val="31"/>
                <w:szCs w:val="31"/>
              </w:rPr>
            </w:pPr>
          </w:p>
          <w:p>
            <w:pPr>
              <w:spacing w:line="284" w:lineRule="auto"/>
              <w:rPr>
                <w:rFonts w:ascii="仿宋_GB2312" w:eastAsia="仿宋_GB2312"/>
                <w:i/>
                <w:iCs/>
                <w:sz w:val="31"/>
                <w:szCs w:val="31"/>
              </w:rPr>
            </w:pPr>
          </w:p>
          <w:p>
            <w:pPr>
              <w:spacing w:line="284" w:lineRule="auto"/>
              <w:rPr>
                <w:rFonts w:ascii="仿宋_GB2312" w:eastAsia="仿宋_GB2312"/>
                <w:i/>
                <w:iCs/>
                <w:sz w:val="31"/>
                <w:szCs w:val="31"/>
              </w:rPr>
            </w:pPr>
          </w:p>
          <w:p>
            <w:pPr>
              <w:spacing w:line="285" w:lineRule="auto"/>
              <w:rPr>
                <w:rFonts w:ascii="仿宋_GB2312" w:eastAsia="仿宋_GB2312"/>
                <w:i/>
                <w:iCs/>
                <w:sz w:val="31"/>
                <w:szCs w:val="31"/>
              </w:rPr>
            </w:pPr>
          </w:p>
          <w:p>
            <w:pPr>
              <w:spacing w:line="285" w:lineRule="auto"/>
              <w:rPr>
                <w:rFonts w:ascii="仿宋_GB2312" w:eastAsia="仿宋_GB2312"/>
                <w:i/>
                <w:iCs/>
                <w:sz w:val="31"/>
                <w:szCs w:val="31"/>
              </w:rPr>
            </w:pPr>
          </w:p>
          <w:p>
            <w:pPr>
              <w:spacing w:line="285" w:lineRule="auto"/>
              <w:rPr>
                <w:rFonts w:ascii="仿宋_GB2312" w:eastAsia="仿宋_GB2312"/>
                <w:i/>
                <w:iCs/>
                <w:sz w:val="31"/>
                <w:szCs w:val="31"/>
              </w:rPr>
            </w:pPr>
          </w:p>
          <w:p>
            <w:pPr>
              <w:spacing w:before="78" w:line="219" w:lineRule="auto"/>
              <w:ind w:firstLine="252"/>
              <w:jc w:val="center"/>
              <w:rPr>
                <w:rFonts w:ascii="仿宋_GB2312" w:hAnsi="宋体" w:eastAsia="仿宋_GB2312" w:cs="宋体"/>
                <w:sz w:val="31"/>
                <w:szCs w:val="31"/>
              </w:rPr>
            </w:pPr>
            <w:r>
              <w:rPr>
                <w:rFonts w:hint="eastAsia" w:ascii="仿宋_GB2312" w:hAnsi="宋体" w:eastAsia="仿宋_GB2312" w:cs="宋体"/>
                <w:i/>
                <w:iCs/>
                <w:spacing w:val="12"/>
                <w:w w:val="102"/>
                <w:sz w:val="31"/>
                <w:szCs w:val="31"/>
              </w:rPr>
              <w:t xml:space="preserve">                    </w:t>
            </w:r>
            <w:r>
              <w:rPr>
                <w:rFonts w:hint="eastAsia" w:ascii="仿宋_GB2312" w:hAnsi="宋体" w:eastAsia="仿宋_GB2312" w:cs="宋体"/>
                <w:spacing w:val="12"/>
                <w:w w:val="102"/>
                <w:sz w:val="31"/>
                <w:szCs w:val="31"/>
              </w:rPr>
              <w:t>(盖章)</w:t>
            </w:r>
          </w:p>
          <w:p>
            <w:pPr>
              <w:spacing w:line="387" w:lineRule="auto"/>
              <w:rPr>
                <w:rFonts w:ascii="仿宋_GB2312" w:eastAsia="仿宋_GB2312"/>
                <w:sz w:val="31"/>
                <w:szCs w:val="31"/>
              </w:rPr>
            </w:pPr>
          </w:p>
          <w:p>
            <w:pPr>
              <w:spacing w:before="78" w:line="219" w:lineRule="auto"/>
              <w:ind w:firstLine="4030" w:firstLineChars="1300"/>
              <w:rPr>
                <w:rFonts w:ascii="仿宋_GB2312" w:hAnsi="宋体" w:eastAsia="仿宋_GB2312" w:cs="宋体"/>
                <w:i/>
                <w:iCs/>
                <w:sz w:val="31"/>
                <w:szCs w:val="31"/>
              </w:rPr>
            </w:pPr>
            <w:r>
              <w:rPr>
                <w:rFonts w:hint="eastAsia" w:ascii="仿宋_GB2312" w:hAnsi="宋体" w:eastAsia="仿宋_GB2312" w:cs="宋体"/>
                <w:sz w:val="31"/>
                <w:szCs w:val="31"/>
              </w:rPr>
              <w:t>年    月    日</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625" w:hRule="atLeast"/>
        </w:trPr>
        <w:tc>
          <w:tcPr>
            <w:tcW w:w="2898" w:type="dxa"/>
            <w:tcBorders>
              <w:top w:val="single" w:color="auto" w:sz="4" w:space="0"/>
              <w:left w:val="single" w:color="auto" w:sz="4" w:space="0"/>
              <w:bottom w:val="single" w:color="000000" w:sz="2" w:space="0"/>
              <w:right w:val="single" w:color="auto" w:sz="4" w:space="0"/>
            </w:tcBorders>
          </w:tcPr>
          <w:p>
            <w:pPr>
              <w:spacing w:before="95" w:line="219" w:lineRule="auto"/>
              <w:ind w:firstLine="95"/>
              <w:jc w:val="center"/>
              <w:rPr>
                <w:rFonts w:ascii="楷体" w:hAnsi="楷体" w:eastAsia="楷体" w:cs="楷体"/>
                <w:spacing w:val="-1"/>
                <w:sz w:val="31"/>
                <w:szCs w:val="31"/>
              </w:rPr>
            </w:pPr>
            <w:r>
              <w:rPr>
                <w:rFonts w:hint="eastAsia" w:ascii="楷体" w:hAnsi="楷体" w:eastAsia="楷体" w:cs="楷体"/>
                <w:spacing w:val="-1"/>
                <w:sz w:val="31"/>
                <w:szCs w:val="31"/>
              </w:rPr>
              <w:t>联系人姓名</w:t>
            </w:r>
          </w:p>
        </w:tc>
        <w:tc>
          <w:tcPr>
            <w:tcW w:w="6435" w:type="dxa"/>
            <w:tcBorders>
              <w:top w:val="single" w:color="000000" w:sz="2" w:space="0"/>
              <w:left w:val="single" w:color="auto" w:sz="4" w:space="0"/>
              <w:bottom w:val="single" w:color="000000" w:sz="2" w:space="0"/>
              <w:right w:val="single" w:color="000000" w:sz="4" w:space="0"/>
            </w:tcBorders>
          </w:tcPr>
          <w:p>
            <w:pPr>
              <w:rPr>
                <w:rFonts w:ascii="仿宋_GB2312" w:eastAsia="仿宋_GB2312"/>
                <w:sz w:val="31"/>
                <w:szCs w:val="3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660" w:hRule="atLeast"/>
        </w:trPr>
        <w:tc>
          <w:tcPr>
            <w:tcW w:w="2898" w:type="dxa"/>
            <w:tcBorders>
              <w:top w:val="single" w:color="000000" w:sz="2" w:space="0"/>
              <w:left w:val="single" w:color="auto" w:sz="4" w:space="0"/>
              <w:bottom w:val="single" w:color="auto" w:sz="4" w:space="0"/>
              <w:right w:val="single" w:color="auto" w:sz="4" w:space="0"/>
            </w:tcBorders>
          </w:tcPr>
          <w:p>
            <w:pPr>
              <w:spacing w:before="95" w:line="219" w:lineRule="auto"/>
              <w:ind w:firstLine="95"/>
              <w:jc w:val="center"/>
              <w:rPr>
                <w:rFonts w:ascii="楷体" w:hAnsi="楷体" w:eastAsia="楷体" w:cs="楷体"/>
                <w:spacing w:val="-1"/>
                <w:sz w:val="31"/>
                <w:szCs w:val="31"/>
              </w:rPr>
            </w:pPr>
            <w:r>
              <w:rPr>
                <w:rFonts w:hint="eastAsia" w:ascii="楷体" w:hAnsi="楷体" w:eastAsia="楷体" w:cs="楷体"/>
                <w:spacing w:val="-1"/>
                <w:sz w:val="31"/>
                <w:szCs w:val="31"/>
              </w:rPr>
              <w:t>联系方式</w:t>
            </w:r>
          </w:p>
        </w:tc>
        <w:tc>
          <w:tcPr>
            <w:tcW w:w="6435" w:type="dxa"/>
            <w:tcBorders>
              <w:top w:val="single" w:color="000000" w:sz="2" w:space="0"/>
              <w:left w:val="single" w:color="auto" w:sz="4" w:space="0"/>
              <w:bottom w:val="single" w:color="000000" w:sz="2" w:space="0"/>
              <w:right w:val="single" w:color="000000" w:sz="4" w:space="0"/>
            </w:tcBorders>
          </w:tcPr>
          <w:p>
            <w:pPr>
              <w:rPr>
                <w:rFonts w:ascii="仿宋_GB2312" w:eastAsia="仿宋_GB2312"/>
                <w:sz w:val="31"/>
                <w:szCs w:val="31"/>
              </w:rPr>
            </w:pPr>
          </w:p>
        </w:tc>
      </w:tr>
    </w:tbl>
    <w:p>
      <w:pPr>
        <w:rPr>
          <w:rFonts w:ascii="Arial"/>
        </w:rPr>
      </w:pPr>
    </w:p>
    <w:p/>
    <w:p>
      <w:pPr>
        <w:spacing w:line="619" w:lineRule="exact"/>
        <w:jc w:val="center"/>
      </w:pPr>
      <w:r>
        <w:rPr>
          <w:rFonts w:ascii="黑体" w:hAnsi="黑体" w:eastAsia="黑体" w:cs="宋体"/>
          <w:spacing w:val="1"/>
          <w:sz w:val="32"/>
          <w:szCs w:val="32"/>
        </w:rPr>
        <w:t>二、</w:t>
      </w:r>
      <w:r>
        <w:rPr>
          <w:rFonts w:hint="eastAsia" w:ascii="黑体" w:hAnsi="黑体" w:eastAsia="黑体" w:cs="宋体"/>
          <w:spacing w:val="1"/>
          <w:sz w:val="32"/>
          <w:szCs w:val="32"/>
        </w:rPr>
        <w:t>千兆城市示范区（县）</w:t>
      </w:r>
      <w:r>
        <w:rPr>
          <w:rFonts w:ascii="黑体" w:hAnsi="黑体" w:eastAsia="黑体" w:cs="宋体"/>
          <w:spacing w:val="1"/>
          <w:sz w:val="32"/>
          <w:szCs w:val="32"/>
        </w:rPr>
        <w:t>量化指标</w:t>
      </w:r>
    </w:p>
    <w:tbl>
      <w:tblPr>
        <w:tblStyle w:val="7"/>
        <w:tblW w:w="93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62"/>
        <w:gridCol w:w="45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4" w:hRule="atLeast"/>
          <w:jc w:val="center"/>
        </w:trPr>
        <w:tc>
          <w:tcPr>
            <w:tcW w:w="4762" w:type="dxa"/>
            <w:tcBorders>
              <w:top w:val="single" w:color="000000" w:sz="2" w:space="0"/>
              <w:bottom w:val="single" w:color="000000" w:sz="2" w:space="0"/>
            </w:tcBorders>
            <w:vAlign w:val="center"/>
          </w:tcPr>
          <w:p>
            <w:pPr>
              <w:spacing w:before="95" w:line="219" w:lineRule="auto"/>
              <w:ind w:firstLine="95"/>
              <w:jc w:val="center"/>
              <w:rPr>
                <w:rFonts w:ascii="楷体" w:hAnsi="楷体" w:eastAsia="楷体" w:cs="楷体"/>
                <w:sz w:val="28"/>
                <w:szCs w:val="28"/>
              </w:rPr>
            </w:pPr>
            <w:r>
              <w:rPr>
                <w:rFonts w:hint="eastAsia" w:ascii="楷体" w:hAnsi="楷体" w:eastAsia="楷体" w:cs="楷体"/>
                <w:spacing w:val="-1"/>
                <w:sz w:val="28"/>
                <w:szCs w:val="28"/>
              </w:rPr>
              <w:t>城市家庭千兆光纤网络覆盖率(%)</w:t>
            </w:r>
          </w:p>
        </w:tc>
        <w:tc>
          <w:tcPr>
            <w:tcW w:w="4571" w:type="dxa"/>
            <w:tcBorders>
              <w:top w:val="single" w:color="000000" w:sz="2" w:space="0"/>
              <w:bottom w:val="single" w:color="000000" w:sz="2" w:space="0"/>
            </w:tcBorders>
          </w:tcPr>
          <w:p>
            <w:pPr>
              <w:rPr>
                <w:rFonts w:ascii="仿宋_GB2312" w:eastAsia="仿宋_GB2312"/>
                <w:sz w:val="31"/>
                <w:szCs w:val="3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5" w:hRule="atLeast"/>
          <w:jc w:val="center"/>
        </w:trPr>
        <w:tc>
          <w:tcPr>
            <w:tcW w:w="4762" w:type="dxa"/>
            <w:tcBorders>
              <w:top w:val="single" w:color="000000" w:sz="2" w:space="0"/>
              <w:bottom w:val="single" w:color="000000" w:sz="2" w:space="0"/>
            </w:tcBorders>
            <w:vAlign w:val="center"/>
          </w:tcPr>
          <w:p>
            <w:pPr>
              <w:spacing w:before="94" w:line="219" w:lineRule="auto"/>
              <w:jc w:val="center"/>
              <w:rPr>
                <w:rFonts w:ascii="楷体" w:hAnsi="楷体" w:eastAsia="楷体" w:cs="楷体"/>
                <w:sz w:val="28"/>
                <w:szCs w:val="28"/>
              </w:rPr>
            </w:pPr>
            <w:r>
              <w:rPr>
                <w:rFonts w:hint="eastAsia" w:ascii="楷体" w:hAnsi="楷体" w:eastAsia="楷体" w:cs="楷体"/>
                <w:spacing w:val="-3"/>
                <w:sz w:val="28"/>
                <w:szCs w:val="28"/>
              </w:rPr>
              <w:t>城市10G-PON端口占比(%)</w:t>
            </w:r>
          </w:p>
        </w:tc>
        <w:tc>
          <w:tcPr>
            <w:tcW w:w="4571" w:type="dxa"/>
            <w:tcBorders>
              <w:top w:val="single" w:color="000000" w:sz="2" w:space="0"/>
              <w:bottom w:val="single" w:color="000000" w:sz="2" w:space="0"/>
            </w:tcBorders>
          </w:tcPr>
          <w:p>
            <w:pPr>
              <w:rPr>
                <w:rFonts w:ascii="仿宋_GB2312" w:eastAsia="仿宋_GB2312"/>
                <w:sz w:val="31"/>
                <w:szCs w:val="3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4" w:hRule="atLeast"/>
          <w:jc w:val="center"/>
        </w:trPr>
        <w:tc>
          <w:tcPr>
            <w:tcW w:w="4762" w:type="dxa"/>
            <w:tcBorders>
              <w:top w:val="single" w:color="000000" w:sz="2" w:space="0"/>
              <w:bottom w:val="single" w:color="000000" w:sz="2" w:space="0"/>
            </w:tcBorders>
            <w:vAlign w:val="center"/>
          </w:tcPr>
          <w:p>
            <w:pPr>
              <w:spacing w:before="95" w:line="219" w:lineRule="auto"/>
              <w:jc w:val="center"/>
              <w:rPr>
                <w:rFonts w:ascii="楷体" w:hAnsi="楷体" w:eastAsia="楷体" w:cs="楷体"/>
                <w:sz w:val="28"/>
                <w:szCs w:val="28"/>
              </w:rPr>
            </w:pPr>
            <w:r>
              <w:rPr>
                <w:rFonts w:hint="eastAsia" w:ascii="楷体" w:hAnsi="楷体" w:eastAsia="楷体" w:cs="楷体"/>
                <w:spacing w:val="-6"/>
                <w:sz w:val="28"/>
                <w:szCs w:val="28"/>
              </w:rPr>
              <w:t>重点场所5G网络通达率(%)</w:t>
            </w:r>
          </w:p>
        </w:tc>
        <w:tc>
          <w:tcPr>
            <w:tcW w:w="4571" w:type="dxa"/>
            <w:tcBorders>
              <w:top w:val="single" w:color="000000" w:sz="2" w:space="0"/>
              <w:bottom w:val="single" w:color="000000" w:sz="2" w:space="0"/>
            </w:tcBorders>
          </w:tcPr>
          <w:p>
            <w:pPr>
              <w:rPr>
                <w:rFonts w:ascii="仿宋_GB2312" w:eastAsia="仿宋_GB2312"/>
                <w:sz w:val="31"/>
                <w:szCs w:val="3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4" w:hRule="atLeast"/>
          <w:jc w:val="center"/>
        </w:trPr>
        <w:tc>
          <w:tcPr>
            <w:tcW w:w="4762" w:type="dxa"/>
            <w:tcBorders>
              <w:top w:val="single" w:color="000000" w:sz="2" w:space="0"/>
              <w:bottom w:val="single" w:color="000000" w:sz="2" w:space="0"/>
            </w:tcBorders>
            <w:vAlign w:val="center"/>
          </w:tcPr>
          <w:p>
            <w:pPr>
              <w:spacing w:before="95" w:line="219" w:lineRule="auto"/>
              <w:jc w:val="center"/>
              <w:rPr>
                <w:rFonts w:ascii="楷体" w:hAnsi="楷体" w:eastAsia="楷体" w:cs="楷体"/>
                <w:sz w:val="28"/>
                <w:szCs w:val="28"/>
              </w:rPr>
            </w:pPr>
            <w:r>
              <w:rPr>
                <w:rFonts w:hint="eastAsia" w:ascii="楷体" w:hAnsi="楷体" w:eastAsia="楷体" w:cs="楷体"/>
                <w:spacing w:val="-4"/>
                <w:sz w:val="28"/>
                <w:szCs w:val="28"/>
              </w:rPr>
              <w:t>每万人拥有5G基站数(个)</w:t>
            </w:r>
          </w:p>
        </w:tc>
        <w:tc>
          <w:tcPr>
            <w:tcW w:w="4571" w:type="dxa"/>
            <w:tcBorders>
              <w:top w:val="single" w:color="000000" w:sz="2" w:space="0"/>
              <w:bottom w:val="single" w:color="000000" w:sz="2" w:space="0"/>
            </w:tcBorders>
          </w:tcPr>
          <w:p>
            <w:pPr>
              <w:rPr>
                <w:rFonts w:ascii="仿宋_GB2312" w:eastAsia="仿宋_GB2312"/>
                <w:sz w:val="31"/>
                <w:szCs w:val="3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4" w:hRule="atLeast"/>
          <w:jc w:val="center"/>
        </w:trPr>
        <w:tc>
          <w:tcPr>
            <w:tcW w:w="4762" w:type="dxa"/>
            <w:tcBorders>
              <w:top w:val="single" w:color="000000" w:sz="2" w:space="0"/>
              <w:bottom w:val="single" w:color="000000" w:sz="2" w:space="0"/>
            </w:tcBorders>
            <w:vAlign w:val="center"/>
          </w:tcPr>
          <w:p>
            <w:pPr>
              <w:spacing w:before="95" w:line="214" w:lineRule="auto"/>
              <w:jc w:val="center"/>
              <w:rPr>
                <w:rFonts w:ascii="楷体" w:hAnsi="楷体" w:eastAsia="楷体" w:cs="楷体"/>
                <w:sz w:val="28"/>
                <w:szCs w:val="28"/>
              </w:rPr>
            </w:pPr>
            <w:r>
              <w:rPr>
                <w:rFonts w:hint="eastAsia" w:ascii="楷体" w:hAnsi="楷体" w:eastAsia="楷体" w:cs="楷体"/>
                <w:spacing w:val="-3"/>
                <w:sz w:val="28"/>
                <w:szCs w:val="28"/>
              </w:rPr>
              <w:t>500Mbps及以上用户占比(%)</w:t>
            </w:r>
          </w:p>
        </w:tc>
        <w:tc>
          <w:tcPr>
            <w:tcW w:w="4571" w:type="dxa"/>
            <w:tcBorders>
              <w:top w:val="single" w:color="000000" w:sz="2" w:space="0"/>
              <w:bottom w:val="single" w:color="000000" w:sz="2" w:space="0"/>
            </w:tcBorders>
          </w:tcPr>
          <w:p>
            <w:pPr>
              <w:rPr>
                <w:rFonts w:ascii="仿宋_GB2312" w:eastAsia="仿宋_GB2312"/>
                <w:sz w:val="31"/>
                <w:szCs w:val="3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jc w:val="center"/>
        </w:trPr>
        <w:tc>
          <w:tcPr>
            <w:tcW w:w="4762" w:type="dxa"/>
            <w:tcBorders>
              <w:top w:val="single" w:color="000000" w:sz="2" w:space="0"/>
              <w:bottom w:val="single" w:color="000000" w:sz="2" w:space="0"/>
            </w:tcBorders>
            <w:vAlign w:val="center"/>
          </w:tcPr>
          <w:p>
            <w:pPr>
              <w:spacing w:before="94" w:line="214" w:lineRule="auto"/>
              <w:jc w:val="center"/>
              <w:rPr>
                <w:rFonts w:ascii="楷体" w:hAnsi="楷体" w:eastAsia="楷体" w:cs="楷体"/>
                <w:sz w:val="28"/>
                <w:szCs w:val="28"/>
              </w:rPr>
            </w:pPr>
            <w:r>
              <w:rPr>
                <w:rFonts w:hint="eastAsia" w:ascii="楷体" w:hAnsi="楷体" w:eastAsia="楷体" w:cs="楷体"/>
                <w:spacing w:val="-7"/>
                <w:sz w:val="28"/>
                <w:szCs w:val="28"/>
              </w:rPr>
              <w:t>1000Mbps用户数(个）</w:t>
            </w:r>
          </w:p>
        </w:tc>
        <w:tc>
          <w:tcPr>
            <w:tcW w:w="4571" w:type="dxa"/>
            <w:tcBorders>
              <w:top w:val="single" w:color="000000" w:sz="2" w:space="0"/>
              <w:bottom w:val="single" w:color="000000" w:sz="2" w:space="0"/>
            </w:tcBorders>
          </w:tcPr>
          <w:p>
            <w:pPr>
              <w:rPr>
                <w:rFonts w:ascii="仿宋_GB2312" w:eastAsia="仿宋_GB2312"/>
                <w:sz w:val="31"/>
                <w:szCs w:val="3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jc w:val="center"/>
        </w:trPr>
        <w:tc>
          <w:tcPr>
            <w:tcW w:w="4762" w:type="dxa"/>
            <w:tcBorders>
              <w:top w:val="single" w:color="000000" w:sz="2" w:space="0"/>
              <w:bottom w:val="single" w:color="000000" w:sz="2" w:space="0"/>
            </w:tcBorders>
            <w:vAlign w:val="center"/>
          </w:tcPr>
          <w:p>
            <w:pPr>
              <w:spacing w:before="94" w:line="220" w:lineRule="auto"/>
              <w:jc w:val="center"/>
              <w:rPr>
                <w:rFonts w:ascii="楷体" w:hAnsi="楷体" w:eastAsia="楷体" w:cs="楷体"/>
                <w:sz w:val="28"/>
                <w:szCs w:val="28"/>
              </w:rPr>
            </w:pPr>
            <w:r>
              <w:rPr>
                <w:rFonts w:hint="eastAsia" w:ascii="楷体" w:hAnsi="楷体" w:eastAsia="楷体" w:cs="楷体"/>
                <w:spacing w:val="-6"/>
                <w:sz w:val="28"/>
                <w:szCs w:val="28"/>
              </w:rPr>
              <w:t>5G用户占比(%)</w:t>
            </w:r>
          </w:p>
        </w:tc>
        <w:tc>
          <w:tcPr>
            <w:tcW w:w="4571" w:type="dxa"/>
            <w:tcBorders>
              <w:top w:val="single" w:color="000000" w:sz="2" w:space="0"/>
              <w:bottom w:val="single" w:color="000000" w:sz="2" w:space="0"/>
            </w:tcBorders>
          </w:tcPr>
          <w:p>
            <w:pPr>
              <w:rPr>
                <w:rFonts w:ascii="仿宋_GB2312" w:eastAsia="仿宋_GB2312"/>
                <w:sz w:val="31"/>
                <w:szCs w:val="3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0" w:hRule="atLeast"/>
          <w:jc w:val="center"/>
        </w:trPr>
        <w:tc>
          <w:tcPr>
            <w:tcW w:w="4762" w:type="dxa"/>
            <w:tcBorders>
              <w:top w:val="single" w:color="000000" w:sz="2" w:space="0"/>
              <w:bottom w:val="single" w:color="000000" w:sz="2" w:space="0"/>
            </w:tcBorders>
            <w:vAlign w:val="center"/>
          </w:tcPr>
          <w:p>
            <w:pPr>
              <w:spacing w:before="94" w:line="219" w:lineRule="auto"/>
              <w:jc w:val="center"/>
              <w:rPr>
                <w:rFonts w:ascii="楷体" w:hAnsi="楷体" w:eastAsia="楷体" w:cs="楷体"/>
                <w:sz w:val="28"/>
                <w:szCs w:val="28"/>
              </w:rPr>
            </w:pPr>
            <w:r>
              <w:rPr>
                <w:rFonts w:hint="eastAsia" w:ascii="楷体" w:hAnsi="楷体" w:eastAsia="楷体" w:cs="楷体"/>
                <w:spacing w:val="-8"/>
                <w:sz w:val="28"/>
                <w:szCs w:val="28"/>
              </w:rPr>
              <w:t>推荐案例数量(个)</w:t>
            </w:r>
          </w:p>
        </w:tc>
        <w:tc>
          <w:tcPr>
            <w:tcW w:w="4571" w:type="dxa"/>
            <w:tcBorders>
              <w:top w:val="single" w:color="000000" w:sz="2" w:space="0"/>
              <w:bottom w:val="single" w:color="000000" w:sz="2" w:space="0"/>
            </w:tcBorders>
          </w:tcPr>
          <w:p>
            <w:pPr>
              <w:rPr>
                <w:rFonts w:ascii="仿宋_GB2312" w:eastAsia="仿宋_GB2312"/>
                <w:sz w:val="31"/>
                <w:szCs w:val="3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0" w:hRule="atLeast"/>
          <w:jc w:val="center"/>
        </w:trPr>
        <w:tc>
          <w:tcPr>
            <w:tcW w:w="4762" w:type="dxa"/>
            <w:tcBorders>
              <w:top w:val="single" w:color="000000" w:sz="2" w:space="0"/>
              <w:bottom w:val="single" w:color="000000" w:sz="2" w:space="0"/>
            </w:tcBorders>
            <w:vAlign w:val="center"/>
          </w:tcPr>
          <w:p>
            <w:pPr>
              <w:spacing w:before="94" w:line="219" w:lineRule="auto"/>
              <w:ind w:firstLine="1848" w:firstLineChars="700"/>
              <w:rPr>
                <w:rFonts w:ascii="楷体" w:hAnsi="楷体" w:eastAsia="楷体" w:cs="楷体"/>
                <w:spacing w:val="-8"/>
                <w:sz w:val="28"/>
                <w:szCs w:val="28"/>
              </w:rPr>
            </w:pPr>
            <w:r>
              <w:rPr>
                <w:rFonts w:hint="eastAsia" w:ascii="楷体" w:hAnsi="楷体" w:eastAsia="楷体" w:cs="楷体"/>
                <w:spacing w:val="-8"/>
                <w:sz w:val="28"/>
                <w:szCs w:val="28"/>
              </w:rPr>
              <w:t>产业政策</w:t>
            </w:r>
          </w:p>
        </w:tc>
        <w:tc>
          <w:tcPr>
            <w:tcW w:w="4571" w:type="dxa"/>
            <w:tcBorders>
              <w:top w:val="single" w:color="000000" w:sz="2" w:space="0"/>
              <w:bottom w:val="single" w:color="000000" w:sz="2" w:space="0"/>
            </w:tcBorders>
            <w:vAlign w:val="center"/>
          </w:tcPr>
          <w:p>
            <w:pPr>
              <w:jc w:val="center"/>
              <w:rPr>
                <w:rFonts w:ascii="仿宋_GB2312" w:eastAsia="仿宋_GB2312"/>
                <w:sz w:val="31"/>
                <w:szCs w:val="31"/>
              </w:rPr>
            </w:pPr>
          </w:p>
        </w:tc>
      </w:tr>
    </w:tbl>
    <w:p>
      <w:pPr>
        <w:rPr>
          <w:rFonts w:ascii="Arial"/>
        </w:rPr>
      </w:pPr>
    </w:p>
    <w:p/>
    <w:p/>
    <w:p/>
    <w:p/>
    <w:p>
      <w:pPr>
        <w:ind w:firstLine="640" w:firstLineChars="200"/>
      </w:pPr>
      <w:r>
        <w:rPr>
          <w:rFonts w:hint="eastAsia" w:ascii="黑体" w:hAnsi="黑体" w:eastAsia="黑体"/>
          <w:color w:val="000000"/>
          <w:sz w:val="32"/>
          <w:szCs w:val="32"/>
        </w:rPr>
        <w:t>三</w:t>
      </w:r>
      <w:r>
        <w:rPr>
          <w:rFonts w:ascii="黑体" w:hAnsi="黑体" w:eastAsia="黑体"/>
          <w:color w:val="000000"/>
          <w:sz w:val="32"/>
          <w:szCs w:val="32"/>
        </w:rPr>
        <w:t>、 千兆城市</w:t>
      </w:r>
      <w:r>
        <w:rPr>
          <w:rFonts w:hint="eastAsia" w:ascii="黑体" w:hAnsi="黑体" w:eastAsia="黑体"/>
          <w:color w:val="000000"/>
          <w:sz w:val="32"/>
          <w:szCs w:val="32"/>
          <w:lang w:val="en-US" w:eastAsia="zh-CN"/>
        </w:rPr>
        <w:t>示范区（县）</w:t>
      </w:r>
      <w:r>
        <w:rPr>
          <w:rFonts w:ascii="黑体" w:hAnsi="黑体" w:eastAsia="黑体"/>
          <w:color w:val="000000"/>
          <w:sz w:val="32"/>
          <w:szCs w:val="32"/>
        </w:rPr>
        <w:t>建设情况</w:t>
      </w:r>
      <w:r>
        <w:rPr>
          <w:rFonts w:ascii="仿宋_GB2312" w:eastAsia="仿宋_GB2312"/>
          <w:color w:val="000000"/>
          <w:sz w:val="32"/>
          <w:szCs w:val="32"/>
        </w:rPr>
        <w:t>（</w:t>
      </w:r>
      <w:r>
        <w:rPr>
          <w:rFonts w:ascii="仿宋_GB2312" w:eastAsia="仿宋_GB2312"/>
          <w:i/>
          <w:iCs/>
          <w:color w:val="000000"/>
          <w:sz w:val="32"/>
          <w:szCs w:val="32"/>
        </w:rPr>
        <w:t>不超过</w:t>
      </w:r>
      <w:r>
        <w:rPr>
          <w:rFonts w:ascii="TimesNewRomanPS-ItalicMT" w:hAnsi="TimesNewRomanPS-ItalicMT"/>
          <w:i/>
          <w:iCs/>
          <w:color w:val="000000"/>
          <w:sz w:val="32"/>
          <w:szCs w:val="32"/>
        </w:rPr>
        <w:t>5000</w:t>
      </w:r>
      <w:r>
        <w:rPr>
          <w:rFonts w:ascii="仿宋_GB2312" w:eastAsia="仿宋_GB2312"/>
          <w:i/>
          <w:iCs/>
          <w:color w:val="000000"/>
          <w:sz w:val="32"/>
          <w:szCs w:val="32"/>
        </w:rPr>
        <w:t>字</w:t>
      </w:r>
      <w:r>
        <w:rPr>
          <w:rFonts w:ascii="仿宋_GB2312" w:eastAsia="仿宋_GB2312"/>
          <w:color w:val="000000"/>
          <w:sz w:val="32"/>
          <w:szCs w:val="32"/>
        </w:rPr>
        <w:t>）</w:t>
      </w:r>
    </w:p>
    <w:p>
      <w:pPr>
        <w:spacing w:line="600" w:lineRule="exact"/>
        <w:ind w:firstLine="640" w:firstLineChars="200"/>
        <w:rPr>
          <w:rFonts w:ascii="楷体" w:hAnsi="楷体" w:eastAsia="楷体"/>
          <w:color w:val="000000"/>
          <w:sz w:val="32"/>
          <w:szCs w:val="32"/>
        </w:rPr>
      </w:pPr>
      <w:r>
        <w:rPr>
          <w:rFonts w:ascii="楷体" w:hAnsi="楷体" w:eastAsia="楷体"/>
          <w:color w:val="000000"/>
          <w:sz w:val="32"/>
          <w:szCs w:val="32"/>
        </w:rPr>
        <w:t>（一）</w:t>
      </w:r>
      <w:r>
        <w:rPr>
          <w:rFonts w:hint="eastAsia" w:ascii="楷体" w:hAnsi="楷体" w:eastAsia="楷体"/>
          <w:color w:val="000000"/>
          <w:sz w:val="32"/>
          <w:szCs w:val="32"/>
          <w:lang w:val="en-US" w:eastAsia="zh-CN"/>
        </w:rPr>
        <w:t>千兆</w:t>
      </w:r>
      <w:r>
        <w:rPr>
          <w:rFonts w:ascii="楷体" w:hAnsi="楷体" w:eastAsia="楷体"/>
          <w:color w:val="000000"/>
          <w:sz w:val="32"/>
          <w:szCs w:val="32"/>
        </w:rPr>
        <w:t>城市</w:t>
      </w:r>
      <w:r>
        <w:rPr>
          <w:rFonts w:hint="eastAsia" w:ascii="楷体" w:hAnsi="楷体" w:eastAsia="楷体"/>
          <w:color w:val="000000"/>
          <w:sz w:val="32"/>
          <w:szCs w:val="32"/>
          <w:lang w:val="en-US" w:eastAsia="zh-CN"/>
        </w:rPr>
        <w:t>示范区（县）建设</w:t>
      </w:r>
      <w:r>
        <w:rPr>
          <w:rFonts w:ascii="楷体" w:hAnsi="楷体" w:eastAsia="楷体"/>
          <w:color w:val="000000"/>
          <w:sz w:val="32"/>
          <w:szCs w:val="32"/>
        </w:rPr>
        <w:t>基本情况</w:t>
      </w:r>
    </w:p>
    <w:p>
      <w:pPr>
        <w:spacing w:line="600" w:lineRule="exact"/>
        <w:ind w:firstLine="640" w:firstLineChars="200"/>
        <w:rPr>
          <w:rFonts w:ascii="楷体" w:hAnsi="楷体" w:eastAsia="楷体"/>
          <w:color w:val="000000"/>
          <w:sz w:val="32"/>
          <w:szCs w:val="32"/>
        </w:rPr>
      </w:pPr>
      <w:r>
        <w:rPr>
          <w:rFonts w:ascii="楷体" w:hAnsi="楷体" w:eastAsia="楷体"/>
          <w:color w:val="000000"/>
          <w:sz w:val="32"/>
          <w:szCs w:val="32"/>
        </w:rPr>
        <w:t>（二）“双千兆”网络建设和用户发展情况</w:t>
      </w:r>
    </w:p>
    <w:p>
      <w:pPr>
        <w:spacing w:line="600" w:lineRule="exact"/>
        <w:ind w:firstLine="640" w:firstLineChars="200"/>
        <w:rPr>
          <w:rFonts w:ascii="楷体" w:hAnsi="楷体" w:eastAsia="楷体"/>
          <w:color w:val="000000"/>
          <w:sz w:val="32"/>
          <w:szCs w:val="32"/>
        </w:rPr>
      </w:pPr>
      <w:r>
        <w:rPr>
          <w:rFonts w:ascii="楷体" w:hAnsi="楷体" w:eastAsia="楷体"/>
          <w:color w:val="000000"/>
          <w:sz w:val="32"/>
          <w:szCs w:val="32"/>
        </w:rPr>
        <w:t>（三）“双千兆”应用创新情况</w:t>
      </w:r>
    </w:p>
    <w:p>
      <w:pPr>
        <w:spacing w:line="600" w:lineRule="exact"/>
        <w:ind w:firstLine="640" w:firstLineChars="200"/>
        <w:rPr>
          <w:rFonts w:ascii="楷体" w:hAnsi="楷体" w:eastAsia="楷体"/>
          <w:color w:val="000000"/>
          <w:sz w:val="32"/>
          <w:szCs w:val="32"/>
        </w:rPr>
      </w:pPr>
      <w:r>
        <w:rPr>
          <w:rFonts w:ascii="楷体" w:hAnsi="楷体" w:eastAsia="楷体"/>
          <w:color w:val="000000"/>
          <w:sz w:val="32"/>
          <w:szCs w:val="32"/>
        </w:rPr>
        <w:t>（四）支持政策情况</w:t>
      </w:r>
    </w:p>
    <w:p>
      <w:pPr>
        <w:spacing w:line="600" w:lineRule="exact"/>
        <w:ind w:firstLine="640" w:firstLineChars="200"/>
        <w:rPr>
          <w:rFonts w:ascii="楷体" w:hAnsi="楷体" w:eastAsia="楷体"/>
          <w:color w:val="000000"/>
          <w:sz w:val="32"/>
          <w:szCs w:val="32"/>
        </w:rPr>
      </w:pPr>
      <w:r>
        <w:rPr>
          <w:rFonts w:ascii="楷体" w:hAnsi="楷体" w:eastAsia="楷体"/>
          <w:color w:val="000000"/>
          <w:sz w:val="32"/>
          <w:szCs w:val="32"/>
        </w:rPr>
        <w:t>（五）工作亮点</w:t>
      </w:r>
    </w:p>
    <w:p>
      <w:pPr>
        <w:spacing w:line="600" w:lineRule="exact"/>
        <w:ind w:firstLine="640" w:firstLineChars="200"/>
        <w:rPr>
          <w:rFonts w:ascii="Arial"/>
          <w:i/>
          <w:iCs/>
          <w:sz w:val="28"/>
          <w:szCs w:val="28"/>
        </w:rPr>
      </w:pPr>
      <w:r>
        <w:rPr>
          <w:rFonts w:ascii="楷体" w:hAnsi="楷体" w:eastAsia="楷体"/>
          <w:color w:val="000000"/>
          <w:sz w:val="32"/>
          <w:szCs w:val="32"/>
        </w:rPr>
        <w:t>（六）下一步工作考虑</w:t>
      </w:r>
    </w:p>
    <w:p/>
    <w:p/>
    <w:p/>
    <w:p/>
    <w:p/>
    <w:p/>
    <w:p/>
    <w:p/>
    <w:p/>
    <w:p/>
    <w:p/>
    <w:p/>
    <w:p/>
    <w:p/>
    <w:p/>
    <w:p/>
    <w:p/>
    <w:p/>
    <w:p/>
    <w:p/>
    <w:p/>
    <w:p/>
    <w:p/>
    <w:p/>
    <w:p/>
    <w:p/>
    <w:p/>
    <w:p/>
    <w:p/>
    <w:p/>
    <w:p/>
    <w:p/>
    <w:p/>
    <w:p/>
    <w:p/>
    <w:p>
      <w:pPr>
        <w:rPr>
          <w:rFonts w:ascii="黑体" w:hAnsi="黑体" w:eastAsia="黑体"/>
          <w:color w:val="000000"/>
          <w:sz w:val="32"/>
          <w:szCs w:val="32"/>
        </w:rPr>
      </w:pPr>
      <w:r>
        <w:rPr>
          <w:rFonts w:hint="eastAsia" w:ascii="黑体" w:hAnsi="黑体" w:eastAsia="黑体"/>
          <w:color w:val="000000"/>
          <w:sz w:val="32"/>
          <w:szCs w:val="32"/>
        </w:rPr>
        <w:t>四、</w:t>
      </w:r>
      <w:r>
        <w:rPr>
          <w:rFonts w:hint="eastAsia" w:ascii="黑体" w:hAnsi="黑体" w:eastAsia="黑体" w:cs="宋体"/>
          <w:spacing w:val="-2"/>
          <w:sz w:val="32"/>
          <w:szCs w:val="32"/>
        </w:rPr>
        <w:t>千</w:t>
      </w:r>
      <w:r>
        <w:rPr>
          <w:rFonts w:hint="eastAsia" w:ascii="黑体" w:hAnsi="黑体" w:eastAsia="黑体" w:cs="宋体"/>
          <w:spacing w:val="-2"/>
          <w:sz w:val="32"/>
          <w:szCs w:val="32"/>
          <w:highlight w:val="none"/>
        </w:rPr>
        <w:t>兆城市示范区（县）</w:t>
      </w:r>
      <w:r>
        <w:rPr>
          <w:rFonts w:ascii="黑体" w:hAnsi="黑体" w:eastAsia="黑体" w:cs="宋体"/>
          <w:spacing w:val="-2"/>
          <w:sz w:val="32"/>
          <w:szCs w:val="32"/>
          <w:highlight w:val="none"/>
        </w:rPr>
        <w:t>优秀案例</w:t>
      </w:r>
      <w:r>
        <w:rPr>
          <w:rFonts w:hint="eastAsia" w:ascii="仿宋_GB2312" w:hAnsi="仿宋_GB2312" w:eastAsia="仿宋_GB2312" w:cs="仿宋_GB2312"/>
          <w:spacing w:val="-2"/>
          <w:sz w:val="32"/>
          <w:szCs w:val="32"/>
          <w:highlight w:val="none"/>
          <w:lang w:eastAsia="zh-CN"/>
        </w:rPr>
        <w:t>（</w:t>
      </w:r>
      <w:r>
        <w:rPr>
          <w:rFonts w:hint="eastAsia" w:ascii="仿宋_GB2312" w:hAnsi="仿宋_GB2312" w:eastAsia="仿宋_GB2312" w:cs="仿宋_GB2312"/>
          <w:spacing w:val="-2"/>
          <w:sz w:val="32"/>
          <w:szCs w:val="32"/>
          <w:highlight w:val="none"/>
        </w:rPr>
        <w:t>每个案例单独填表</w:t>
      </w:r>
      <w:r>
        <w:rPr>
          <w:rFonts w:hint="eastAsia" w:ascii="仿宋_GB2312" w:hAnsi="仿宋_GB2312" w:eastAsia="仿宋_GB2312" w:cs="仿宋_GB2312"/>
          <w:spacing w:val="-2"/>
          <w:sz w:val="32"/>
          <w:szCs w:val="32"/>
          <w:highlight w:val="none"/>
          <w:lang w:eastAsia="zh-CN"/>
        </w:rPr>
        <w:t>）</w:t>
      </w:r>
    </w:p>
    <w:p>
      <w:pPr>
        <w:spacing w:line="63" w:lineRule="exact"/>
      </w:pPr>
    </w:p>
    <w:tbl>
      <w:tblPr>
        <w:tblStyle w:val="7"/>
        <w:tblW w:w="9309"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0"/>
        <w:gridCol w:w="71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2200" w:type="dxa"/>
            <w:tcBorders>
              <w:left w:val="single" w:color="000000" w:sz="4" w:space="0"/>
              <w:right w:val="single" w:color="000000" w:sz="4" w:space="0"/>
            </w:tcBorders>
            <w:vAlign w:val="center"/>
          </w:tcPr>
          <w:p>
            <w:pPr>
              <w:spacing w:before="95" w:line="219" w:lineRule="auto"/>
              <w:ind w:firstLine="95"/>
              <w:jc w:val="center"/>
              <w:rPr>
                <w:rFonts w:ascii="楷体" w:hAnsi="楷体" w:eastAsia="楷体" w:cs="楷体"/>
                <w:spacing w:val="-1"/>
                <w:sz w:val="23"/>
                <w:szCs w:val="23"/>
              </w:rPr>
            </w:pPr>
            <w:r>
              <w:rPr>
                <w:rFonts w:hint="eastAsia" w:ascii="楷体" w:hAnsi="楷体" w:eastAsia="楷体" w:cs="楷体"/>
                <w:spacing w:val="-1"/>
                <w:sz w:val="28"/>
                <w:szCs w:val="28"/>
              </w:rPr>
              <w:t>案例名称</w:t>
            </w:r>
          </w:p>
        </w:tc>
        <w:tc>
          <w:tcPr>
            <w:tcW w:w="7109" w:type="dxa"/>
            <w:tcBorders>
              <w:left w:val="single" w:color="000000" w:sz="4" w:space="0"/>
              <w:right w:val="single" w:color="000000" w:sz="4" w:space="0"/>
            </w:tcBorders>
            <w:vAlign w:val="center"/>
          </w:tcPr>
          <w:p>
            <w:pPr>
              <w:rPr>
                <w:rFonts w:ascii="仿宋_GB2312" w:eastAsia="仿宋_GB2312"/>
                <w:sz w:val="23"/>
                <w:szCs w:val="2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4" w:hRule="atLeast"/>
        </w:trPr>
        <w:tc>
          <w:tcPr>
            <w:tcW w:w="2200" w:type="dxa"/>
            <w:tcBorders>
              <w:left w:val="single" w:color="000000" w:sz="4" w:space="0"/>
              <w:right w:val="single" w:color="000000" w:sz="4" w:space="0"/>
            </w:tcBorders>
            <w:vAlign w:val="center"/>
          </w:tcPr>
          <w:p>
            <w:pPr>
              <w:spacing w:before="95" w:line="219" w:lineRule="auto"/>
              <w:ind w:firstLine="95"/>
              <w:jc w:val="center"/>
              <w:rPr>
                <w:rFonts w:hint="eastAsia" w:ascii="楷体" w:hAnsi="楷体" w:eastAsia="楷体" w:cs="楷体"/>
                <w:spacing w:val="-1"/>
                <w:sz w:val="28"/>
                <w:szCs w:val="28"/>
              </w:rPr>
            </w:pPr>
            <w:r>
              <w:rPr>
                <w:rFonts w:hint="eastAsia" w:ascii="楷体" w:hAnsi="楷体" w:eastAsia="楷体" w:cs="楷体"/>
                <w:spacing w:val="-1"/>
                <w:sz w:val="28"/>
                <w:szCs w:val="28"/>
              </w:rPr>
              <w:t>案例涉及方向</w:t>
            </w:r>
          </w:p>
        </w:tc>
        <w:tc>
          <w:tcPr>
            <w:tcW w:w="7109" w:type="dxa"/>
            <w:tcBorders>
              <w:left w:val="single" w:color="000000" w:sz="4" w:space="0"/>
              <w:right w:val="single" w:color="000000" w:sz="4" w:space="0"/>
            </w:tcBorders>
          </w:tcPr>
          <w:p>
            <w:pPr>
              <w:spacing w:line="560" w:lineRule="exact"/>
              <w:rPr>
                <w:rFonts w:ascii="仿宋_GB2312" w:eastAsia="仿宋_GB2312"/>
                <w:sz w:val="24"/>
                <w:szCs w:val="24"/>
              </w:rPr>
            </w:pPr>
            <w:r>
              <w:rPr>
                <w:rFonts w:hint="eastAsia" w:ascii="仿宋_GB2312" w:eastAsia="仿宋_GB2312"/>
                <w:sz w:val="24"/>
                <w:szCs w:val="24"/>
              </w:rPr>
              <w:t>□信息消费:</w:t>
            </w:r>
          </w:p>
          <w:p>
            <w:pPr>
              <w:spacing w:line="560" w:lineRule="exact"/>
              <w:rPr>
                <w:rFonts w:ascii="仿宋_GB2312" w:eastAsia="仿宋_GB2312"/>
                <w:sz w:val="24"/>
                <w:szCs w:val="24"/>
              </w:rPr>
            </w:pPr>
            <w:r>
              <w:rPr>
                <w:rFonts w:hint="eastAsia" w:ascii="仿宋_GB2312" w:eastAsia="仿宋_GB2312"/>
                <w:sz w:val="24"/>
                <w:szCs w:val="24"/>
              </w:rPr>
              <w:t>□垂直行业:</w:t>
            </w:r>
          </w:p>
          <w:p>
            <w:pPr>
              <w:spacing w:line="560" w:lineRule="exact"/>
              <w:rPr>
                <w:rFonts w:ascii="仿宋_GB2312" w:eastAsia="仿宋_GB2312"/>
                <w:sz w:val="24"/>
                <w:szCs w:val="24"/>
              </w:rPr>
            </w:pPr>
            <w:r>
              <w:rPr>
                <w:rFonts w:hint="eastAsia" w:ascii="仿宋_GB2312" w:eastAsia="仿宋_GB2312"/>
                <w:sz w:val="24"/>
                <w:szCs w:val="24"/>
              </w:rPr>
              <w:t>□社会民生:</w:t>
            </w:r>
          </w:p>
          <w:p>
            <w:pPr>
              <w:spacing w:line="560" w:lineRule="exact"/>
              <w:rPr>
                <w:rFonts w:ascii="仿宋_GB2312" w:eastAsia="仿宋_GB2312"/>
                <w:sz w:val="24"/>
                <w:szCs w:val="24"/>
              </w:rPr>
            </w:pPr>
            <w:r>
              <w:rPr>
                <w:rFonts w:hint="eastAsia" w:ascii="仿宋_GB2312" w:eastAsia="仿宋_GB2312"/>
                <w:sz w:val="24"/>
                <w:szCs w:val="24"/>
              </w:rPr>
              <w:t>□数字政府:</w:t>
            </w:r>
          </w:p>
          <w:p>
            <w:pPr>
              <w:spacing w:line="560" w:lineRule="exact"/>
              <w:rPr>
                <w:rFonts w:ascii="仿宋_GB2312" w:hAnsi="宋体" w:eastAsia="仿宋_GB2312" w:cs="宋体"/>
                <w:sz w:val="23"/>
                <w:szCs w:val="23"/>
              </w:rPr>
            </w:pPr>
            <w:r>
              <w:rPr>
                <w:rFonts w:hint="eastAsia" w:ascii="仿宋_GB2312" w:eastAsia="仿宋_GB2312"/>
                <w:sz w:val="24"/>
                <w:szCs w:val="24"/>
              </w:rPr>
              <w:t>□其他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0" w:hRule="atLeast"/>
        </w:trPr>
        <w:tc>
          <w:tcPr>
            <w:tcW w:w="2200" w:type="dxa"/>
            <w:tcBorders>
              <w:left w:val="single" w:color="000000" w:sz="4" w:space="0"/>
              <w:right w:val="single" w:color="000000" w:sz="4" w:space="0"/>
            </w:tcBorders>
            <w:vAlign w:val="center"/>
          </w:tcPr>
          <w:p>
            <w:pPr>
              <w:spacing w:before="95" w:line="219" w:lineRule="auto"/>
              <w:jc w:val="center"/>
              <w:rPr>
                <w:rFonts w:hint="eastAsia" w:ascii="楷体" w:hAnsi="楷体" w:eastAsia="楷体" w:cs="楷体"/>
                <w:spacing w:val="-1"/>
                <w:sz w:val="28"/>
                <w:szCs w:val="28"/>
              </w:rPr>
            </w:pPr>
            <w:r>
              <w:rPr>
                <w:rFonts w:hint="eastAsia" w:ascii="楷体" w:hAnsi="楷体" w:eastAsia="楷体" w:cs="楷体"/>
                <w:spacing w:val="-1"/>
                <w:sz w:val="28"/>
                <w:szCs w:val="28"/>
              </w:rPr>
              <w:t>入围“绽放杯”应用征集大赛和“光华杯”千兆光网应用创新大赛情况</w:t>
            </w:r>
          </w:p>
        </w:tc>
        <w:tc>
          <w:tcPr>
            <w:tcW w:w="7109" w:type="dxa"/>
            <w:tcBorders>
              <w:left w:val="single" w:color="000000" w:sz="4" w:space="0"/>
              <w:right w:val="single" w:color="000000" w:sz="4" w:space="0"/>
            </w:tcBorders>
            <w:vAlign w:val="center"/>
          </w:tcPr>
          <w:p>
            <w:pPr>
              <w:rPr>
                <w:rFonts w:ascii="仿宋_GB2312" w:eastAsia="仿宋_GB2312"/>
                <w:sz w:val="23"/>
                <w:szCs w:val="23"/>
              </w:rPr>
            </w:pPr>
            <w:r>
              <w:rPr>
                <w:rFonts w:hint="eastAsia" w:ascii="仿宋_GB2312" w:eastAsia="仿宋_GB2312"/>
                <w:sz w:val="24"/>
                <w:szCs w:val="24"/>
              </w:rPr>
              <w:t>入围XX年XX大赛，获得XX年XX大赛XX奖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4" w:hRule="atLeast"/>
        </w:trPr>
        <w:tc>
          <w:tcPr>
            <w:tcW w:w="2200" w:type="dxa"/>
            <w:tcBorders>
              <w:left w:val="single" w:color="000000" w:sz="4" w:space="0"/>
              <w:right w:val="single" w:color="000000" w:sz="4" w:space="0"/>
            </w:tcBorders>
            <w:vAlign w:val="center"/>
          </w:tcPr>
          <w:p>
            <w:pPr>
              <w:spacing w:before="95" w:line="219" w:lineRule="auto"/>
              <w:ind w:right="192" w:firstLine="95"/>
              <w:jc w:val="center"/>
              <w:rPr>
                <w:rFonts w:hint="eastAsia" w:ascii="楷体" w:hAnsi="楷体" w:eastAsia="楷体" w:cs="楷体"/>
                <w:spacing w:val="-1"/>
                <w:sz w:val="28"/>
                <w:szCs w:val="28"/>
              </w:rPr>
            </w:pPr>
            <w:r>
              <w:rPr>
                <w:rFonts w:hint="eastAsia" w:ascii="楷体" w:hAnsi="楷体" w:eastAsia="楷体" w:cs="楷体"/>
                <w:spacing w:val="-1"/>
                <w:sz w:val="28"/>
                <w:szCs w:val="28"/>
              </w:rPr>
              <w:t>案例涉及的知识产权归属说明</w:t>
            </w:r>
          </w:p>
        </w:tc>
        <w:tc>
          <w:tcPr>
            <w:tcW w:w="7109" w:type="dxa"/>
            <w:tcBorders>
              <w:left w:val="single" w:color="000000" w:sz="4" w:space="0"/>
              <w:right w:val="single" w:color="000000" w:sz="4" w:space="0"/>
            </w:tcBorders>
            <w:vAlign w:val="center"/>
          </w:tcPr>
          <w:p>
            <w:pPr>
              <w:rPr>
                <w:rFonts w:ascii="仿宋_GB2312" w:hAnsi="仿宋_GB2312" w:eastAsia="仿宋_GB2312" w:cs="仿宋_GB2312"/>
                <w:sz w:val="23"/>
                <w:szCs w:val="23"/>
              </w:rPr>
            </w:pPr>
            <w:r>
              <w:rPr>
                <w:rFonts w:hint="eastAsia" w:ascii="仿宋_GB2312" w:eastAsia="仿宋_GB2312"/>
                <w:sz w:val="24"/>
                <w:szCs w:val="24"/>
              </w:rPr>
              <w:t>请简要描述案例所包含的知识产权归属情况</w:t>
            </w:r>
            <w:r>
              <w:rPr>
                <w:rFonts w:hint="eastAsia" w:ascii="仿宋_GB2312" w:eastAsia="仿宋_GB2312"/>
                <w:sz w:val="24"/>
                <w:szCs w:val="24"/>
                <w:lang w:eastAsia="zh-CN"/>
              </w:rPr>
              <w:t>，</w:t>
            </w:r>
            <w:r>
              <w:rPr>
                <w:rFonts w:hint="eastAsia" w:ascii="仿宋_GB2312" w:eastAsia="仿宋_GB2312"/>
                <w:sz w:val="24"/>
                <w:szCs w:val="24"/>
              </w:rPr>
              <w:t>例如自研发、购买、购买基础上自研发等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2200" w:type="dxa"/>
            <w:tcBorders>
              <w:left w:val="single" w:color="000000" w:sz="4" w:space="0"/>
              <w:right w:val="single" w:color="000000" w:sz="4" w:space="0"/>
            </w:tcBorders>
            <w:vAlign w:val="center"/>
          </w:tcPr>
          <w:p>
            <w:pPr>
              <w:spacing w:before="95" w:line="219" w:lineRule="auto"/>
              <w:jc w:val="center"/>
              <w:rPr>
                <w:rFonts w:hint="eastAsia" w:ascii="楷体" w:hAnsi="楷体" w:eastAsia="楷体" w:cs="楷体"/>
                <w:spacing w:val="-1"/>
                <w:sz w:val="28"/>
                <w:szCs w:val="28"/>
              </w:rPr>
            </w:pPr>
            <w:r>
              <w:rPr>
                <w:rFonts w:hint="eastAsia" w:ascii="楷体" w:hAnsi="楷体" w:eastAsia="楷体" w:cs="楷体"/>
                <w:spacing w:val="-1"/>
                <w:sz w:val="28"/>
                <w:szCs w:val="28"/>
              </w:rPr>
              <w:t>应用成效</w:t>
            </w:r>
          </w:p>
        </w:tc>
        <w:tc>
          <w:tcPr>
            <w:tcW w:w="7109" w:type="dxa"/>
            <w:tcBorders>
              <w:left w:val="single" w:color="000000" w:sz="4" w:space="0"/>
              <w:right w:val="single" w:color="000000" w:sz="4" w:space="0"/>
            </w:tcBorders>
            <w:vAlign w:val="center"/>
          </w:tcPr>
          <w:p>
            <w:pPr>
              <w:rPr>
                <w:rFonts w:hint="eastAsia" w:ascii="仿宋_GB2312" w:hAnsi="宋体" w:eastAsia="仿宋_GB2312" w:cs="宋体"/>
                <w:sz w:val="23"/>
                <w:szCs w:val="23"/>
                <w:lang w:eastAsia="zh-CN"/>
              </w:rPr>
            </w:pPr>
            <w:r>
              <w:rPr>
                <w:rFonts w:hint="eastAsia" w:ascii="仿宋_GB2312" w:eastAsia="仿宋_GB2312"/>
                <w:sz w:val="24"/>
                <w:szCs w:val="24"/>
              </w:rPr>
              <w:t>用数据说明案例已经取得的应用成效</w:t>
            </w:r>
            <w:r>
              <w:rPr>
                <w:rFonts w:hint="eastAsia" w:ascii="仿宋_GB2312" w:eastAsia="仿宋_GB2312"/>
                <w:sz w:val="24"/>
                <w:szCs w:val="24"/>
                <w:lang w:eastAsia="zh-CN"/>
              </w:rPr>
              <w:t>、</w:t>
            </w:r>
            <w:r>
              <w:rPr>
                <w:rFonts w:hint="eastAsia" w:ascii="仿宋_GB2312" w:eastAsia="仿宋_GB2312"/>
                <w:sz w:val="24"/>
                <w:szCs w:val="24"/>
              </w:rPr>
              <w:t>解决的实际问题或其他社会经济效益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2200" w:type="dxa"/>
            <w:tcBorders>
              <w:left w:val="single" w:color="000000" w:sz="4" w:space="0"/>
              <w:right w:val="single" w:color="000000" w:sz="4" w:space="0"/>
            </w:tcBorders>
            <w:vAlign w:val="center"/>
          </w:tcPr>
          <w:p>
            <w:pPr>
              <w:spacing w:before="95" w:line="219" w:lineRule="auto"/>
              <w:jc w:val="center"/>
              <w:rPr>
                <w:rFonts w:hint="eastAsia" w:ascii="楷体" w:hAnsi="楷体" w:eastAsia="楷体" w:cs="楷体"/>
                <w:spacing w:val="-1"/>
                <w:sz w:val="28"/>
                <w:szCs w:val="28"/>
              </w:rPr>
            </w:pPr>
            <w:r>
              <w:rPr>
                <w:rFonts w:hint="eastAsia" w:ascii="楷体" w:hAnsi="楷体" w:eastAsia="楷体" w:cs="楷体"/>
                <w:spacing w:val="-1"/>
                <w:sz w:val="28"/>
                <w:szCs w:val="28"/>
              </w:rPr>
              <w:t>创新性经验</w:t>
            </w:r>
          </w:p>
        </w:tc>
        <w:tc>
          <w:tcPr>
            <w:tcW w:w="7109" w:type="dxa"/>
            <w:tcBorders>
              <w:left w:val="single" w:color="000000" w:sz="4" w:space="0"/>
              <w:right w:val="single" w:color="000000" w:sz="4" w:space="0"/>
            </w:tcBorders>
            <w:vAlign w:val="center"/>
          </w:tcPr>
          <w:p>
            <w:pPr>
              <w:rPr>
                <w:rFonts w:ascii="仿宋_GB2312" w:eastAsia="仿宋_GB2312"/>
                <w:sz w:val="23"/>
                <w:szCs w:val="23"/>
              </w:rPr>
            </w:pPr>
            <w:r>
              <w:rPr>
                <w:rFonts w:hint="eastAsia" w:ascii="仿宋_GB2312" w:eastAsia="仿宋_GB2312"/>
                <w:sz w:val="24"/>
                <w:szCs w:val="24"/>
              </w:rPr>
              <w:t>说明在创新模式等方面取得的创新性经验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7" w:hRule="atLeast"/>
        </w:trPr>
        <w:tc>
          <w:tcPr>
            <w:tcW w:w="2200" w:type="dxa"/>
            <w:tcBorders>
              <w:left w:val="single" w:color="000000" w:sz="4" w:space="0"/>
              <w:right w:val="single" w:color="000000" w:sz="4" w:space="0"/>
            </w:tcBorders>
            <w:vAlign w:val="center"/>
          </w:tcPr>
          <w:p>
            <w:pPr>
              <w:spacing w:before="95" w:line="219" w:lineRule="auto"/>
              <w:jc w:val="center"/>
              <w:rPr>
                <w:rFonts w:hint="eastAsia" w:ascii="楷体" w:hAnsi="楷体" w:eastAsia="楷体" w:cs="楷体"/>
                <w:spacing w:val="-1"/>
                <w:sz w:val="28"/>
                <w:szCs w:val="28"/>
              </w:rPr>
            </w:pPr>
            <w:r>
              <w:rPr>
                <w:rFonts w:hint="eastAsia" w:ascii="楷体" w:hAnsi="楷体" w:eastAsia="楷体" w:cs="楷体"/>
                <w:spacing w:val="-1"/>
                <w:sz w:val="28"/>
                <w:szCs w:val="28"/>
              </w:rPr>
              <w:t>典型案例</w:t>
            </w:r>
          </w:p>
        </w:tc>
        <w:tc>
          <w:tcPr>
            <w:tcW w:w="7109" w:type="dxa"/>
            <w:tcBorders>
              <w:left w:val="single" w:color="000000" w:sz="4" w:space="0"/>
              <w:right w:val="single" w:color="000000" w:sz="4" w:space="0"/>
            </w:tcBorders>
            <w:vAlign w:val="center"/>
          </w:tcPr>
          <w:p>
            <w:pPr>
              <w:rPr>
                <w:rFonts w:ascii="仿宋_GB2312" w:eastAsia="仿宋_GB2312"/>
                <w:sz w:val="24"/>
                <w:szCs w:val="24"/>
              </w:rPr>
            </w:pPr>
            <w:r>
              <w:rPr>
                <w:rFonts w:hint="eastAsia" w:ascii="仿宋_GB2312" w:eastAsia="仿宋_GB2312"/>
                <w:sz w:val="24"/>
                <w:szCs w:val="24"/>
              </w:rPr>
              <w:t xml:space="preserve">典型经验案例可按以下三部分展开:                            </w:t>
            </w:r>
          </w:p>
          <w:p>
            <w:pPr>
              <w:rPr>
                <w:rFonts w:ascii="仿宋_GB2312" w:eastAsia="仿宋_GB2312"/>
                <w:sz w:val="24"/>
                <w:szCs w:val="24"/>
              </w:rPr>
            </w:pPr>
            <w:r>
              <w:rPr>
                <w:rFonts w:hint="eastAsia" w:ascii="仿宋_GB2312" w:eastAsia="仿宋_GB2312"/>
                <w:sz w:val="24"/>
                <w:szCs w:val="24"/>
              </w:rPr>
              <w:t>1.概述(简要说明案例的</w:t>
            </w:r>
            <w:r>
              <w:rPr>
                <w:rFonts w:hint="eastAsia" w:ascii="仿宋_GB2312" w:eastAsia="仿宋_GB2312"/>
                <w:sz w:val="24"/>
                <w:szCs w:val="24"/>
                <w:lang w:val="en-US" w:eastAsia="zh-CN"/>
              </w:rPr>
              <w:t>基本</w:t>
            </w:r>
            <w:r>
              <w:rPr>
                <w:rFonts w:hint="eastAsia" w:ascii="仿宋_GB2312" w:eastAsia="仿宋_GB2312"/>
                <w:sz w:val="24"/>
                <w:szCs w:val="24"/>
              </w:rPr>
              <w:t xml:space="preserve">情况)                              </w:t>
            </w:r>
          </w:p>
          <w:p>
            <w:pPr>
              <w:rPr>
                <w:rFonts w:ascii="仿宋_GB2312" w:eastAsia="仿宋_GB2312"/>
                <w:sz w:val="24"/>
                <w:szCs w:val="24"/>
              </w:rPr>
            </w:pPr>
            <w:r>
              <w:rPr>
                <w:rFonts w:hint="eastAsia" w:ascii="仿宋_GB2312" w:eastAsia="仿宋_GB2312"/>
                <w:sz w:val="24"/>
                <w:szCs w:val="24"/>
              </w:rPr>
              <w:t xml:space="preserve">2.背景(说明原来的状态和希望解决的问题)                 </w:t>
            </w:r>
          </w:p>
          <w:p>
            <w:pPr>
              <w:rPr>
                <w:rFonts w:ascii="仿宋_GB2312" w:eastAsia="仿宋_GB2312"/>
                <w:sz w:val="24"/>
                <w:szCs w:val="24"/>
              </w:rPr>
            </w:pPr>
            <w:r>
              <w:rPr>
                <w:rFonts w:hint="eastAsia" w:ascii="仿宋_GB2312" w:eastAsia="仿宋_GB2312"/>
                <w:sz w:val="24"/>
                <w:szCs w:val="24"/>
              </w:rPr>
              <w:t>3.实践及效果(说明案例在实践中如何开展或应用</w:t>
            </w:r>
            <w:r>
              <w:rPr>
                <w:rFonts w:hint="eastAsia" w:ascii="仿宋_GB2312" w:eastAsia="仿宋_GB2312"/>
                <w:sz w:val="24"/>
                <w:szCs w:val="24"/>
                <w:lang w:eastAsia="zh-CN"/>
              </w:rPr>
              <w:t>，</w:t>
            </w:r>
            <w:r>
              <w:rPr>
                <w:rFonts w:hint="eastAsia" w:ascii="仿宋_GB2312" w:eastAsia="仿宋_GB2312"/>
                <w:sz w:val="24"/>
                <w:szCs w:val="24"/>
              </w:rPr>
              <w:t>用实例和数据说明带来的变化和效果)</w:t>
            </w:r>
          </w:p>
          <w:p>
            <w:pPr>
              <w:rPr>
                <w:rFonts w:ascii="仿宋_GB2312" w:eastAsia="仿宋_GB2312"/>
                <w:sz w:val="24"/>
                <w:szCs w:val="24"/>
              </w:rPr>
            </w:pPr>
          </w:p>
          <w:p>
            <w:pPr>
              <w:rPr>
                <w:rFonts w:ascii="仿宋_GB2312" w:eastAsia="仿宋_GB2312"/>
                <w:sz w:val="24"/>
                <w:szCs w:val="24"/>
              </w:rPr>
            </w:pPr>
            <w:r>
              <w:rPr>
                <w:rFonts w:hint="eastAsia" w:ascii="仿宋_GB2312" w:eastAsia="仿宋_GB2312"/>
                <w:sz w:val="24"/>
                <w:szCs w:val="24"/>
              </w:rPr>
              <w:t>典型经验案例要求:</w:t>
            </w:r>
          </w:p>
          <w:p>
            <w:pPr>
              <w:rPr>
                <w:rFonts w:ascii="仿宋_GB2312" w:eastAsia="仿宋_GB2312"/>
                <w:sz w:val="24"/>
                <w:szCs w:val="24"/>
              </w:rPr>
            </w:pPr>
            <w:r>
              <w:rPr>
                <w:rFonts w:hint="eastAsia" w:ascii="仿宋_GB2312" w:eastAsia="仿宋_GB2312"/>
                <w:sz w:val="24"/>
                <w:szCs w:val="24"/>
              </w:rPr>
              <w:t>1.案例不是若干项工作的罗列</w:t>
            </w:r>
          </w:p>
          <w:p>
            <w:pPr>
              <w:rPr>
                <w:rFonts w:ascii="仿宋_GB2312" w:eastAsia="仿宋_GB2312"/>
                <w:sz w:val="24"/>
                <w:szCs w:val="24"/>
              </w:rPr>
            </w:pPr>
            <w:r>
              <w:rPr>
                <w:rFonts w:hint="eastAsia" w:ascii="仿宋_GB2312" w:eastAsia="仿宋_GB2312"/>
                <w:sz w:val="24"/>
                <w:szCs w:val="24"/>
              </w:rPr>
              <w:t>2.案例可图文并茂</w:t>
            </w:r>
            <w:r>
              <w:rPr>
                <w:rFonts w:hint="eastAsia" w:ascii="仿宋_GB2312" w:eastAsia="仿宋_GB2312"/>
                <w:sz w:val="24"/>
                <w:szCs w:val="24"/>
                <w:lang w:eastAsia="zh-CN"/>
              </w:rPr>
              <w:t>，</w:t>
            </w:r>
            <w:r>
              <w:rPr>
                <w:rFonts w:hint="eastAsia" w:ascii="仿宋_GB2312" w:eastAsia="仿宋_GB2312"/>
                <w:sz w:val="24"/>
                <w:szCs w:val="24"/>
              </w:rPr>
              <w:t>便于经验的传播和推广</w:t>
            </w:r>
          </w:p>
          <w:p>
            <w:pPr>
              <w:rPr>
                <w:rFonts w:ascii="仿宋_GB2312" w:eastAsia="仿宋_GB2312"/>
                <w:sz w:val="23"/>
                <w:szCs w:val="23"/>
              </w:rPr>
            </w:pPr>
            <w:r>
              <w:rPr>
                <w:rFonts w:hint="eastAsia" w:ascii="仿宋_GB2312" w:eastAsia="仿宋_GB2312"/>
                <w:sz w:val="24"/>
                <w:szCs w:val="24"/>
              </w:rPr>
              <w:t>3.案例字数在3000-5000字之间</w:t>
            </w:r>
          </w:p>
        </w:tc>
      </w:tr>
    </w:tbl>
    <w:p>
      <w:pPr>
        <w:spacing w:line="35" w:lineRule="exact"/>
      </w:pPr>
    </w:p>
    <w:p>
      <w:pPr>
        <w:rPr>
          <w:rFonts w:ascii="仿宋" w:hAnsi="仿宋" w:eastAsia="仿宋" w:cs="仿宋"/>
          <w:sz w:val="32"/>
          <w:szCs w:val="32"/>
        </w:rPr>
        <w:sectPr>
          <w:footerReference r:id="rId5" w:type="default"/>
          <w:type w:val="nextColumn"/>
          <w:pgSz w:w="11906" w:h="16838"/>
          <w:pgMar w:top="1985" w:right="1474" w:bottom="1701" w:left="1644" w:header="851" w:footer="992" w:gutter="0"/>
          <w:pgNumType w:fmt="decimal"/>
          <w:cols w:space="425" w:num="1"/>
          <w:docGrid w:linePitch="312" w:charSpace="0"/>
        </w:sectPr>
      </w:pPr>
    </w:p>
    <w:p>
      <w:pPr>
        <w:spacing w:line="600" w:lineRule="exact"/>
        <w:ind w:firstLine="640" w:firstLineChars="200"/>
        <w:rPr>
          <w:rStyle w:val="10"/>
          <w:rFonts w:hint="default"/>
        </w:rPr>
      </w:pPr>
      <w:r>
        <w:rPr>
          <w:rStyle w:val="8"/>
          <w:rFonts w:hint="default"/>
        </w:rPr>
        <w:t xml:space="preserve">五、重点场所 </w:t>
      </w:r>
      <w:r>
        <w:rPr>
          <w:rStyle w:val="9"/>
        </w:rPr>
        <w:t>5G</w:t>
      </w:r>
      <w:r>
        <w:rPr>
          <w:rStyle w:val="8"/>
          <w:rFonts w:hint="default"/>
        </w:rPr>
        <w:t>网络覆盖评测结果</w:t>
      </w:r>
      <w:r>
        <w:rPr>
          <w:rStyle w:val="10"/>
          <w:rFonts w:hint="default"/>
          <w:sz w:val="32"/>
          <w:szCs w:val="32"/>
        </w:rPr>
        <w:t>（格式不限）</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基础电信企业或第三方机构技术评测结果，确保重点场所公共区域有至少一家电信运营商的5G网络信号。</w:t>
      </w:r>
    </w:p>
    <w:p>
      <w:pPr>
        <w:spacing w:line="600" w:lineRule="exact"/>
        <w:rPr>
          <w:rFonts w:ascii="黑体" w:hAnsi="黑体" w:eastAsia="黑体"/>
          <w:sz w:val="32"/>
          <w:szCs w:val="32"/>
        </w:rPr>
      </w:pPr>
    </w:p>
    <w:p>
      <w:pPr>
        <w:spacing w:line="600" w:lineRule="exact"/>
        <w:rPr>
          <w:rFonts w:ascii="黑体" w:hAnsi="黑体" w:eastAsia="黑体"/>
          <w:sz w:val="32"/>
          <w:szCs w:val="32"/>
        </w:rPr>
      </w:pPr>
    </w:p>
    <w:p>
      <w:pPr>
        <w:spacing w:line="600" w:lineRule="exact"/>
        <w:rPr>
          <w:rFonts w:ascii="黑体" w:hAnsi="黑体" w:eastAsia="黑体"/>
          <w:sz w:val="32"/>
          <w:szCs w:val="32"/>
        </w:rPr>
      </w:pPr>
    </w:p>
    <w:p>
      <w:pPr>
        <w:spacing w:line="600" w:lineRule="exact"/>
        <w:rPr>
          <w:rFonts w:ascii="黑体" w:hAnsi="黑体" w:eastAsia="黑体"/>
          <w:sz w:val="32"/>
          <w:szCs w:val="32"/>
        </w:rPr>
      </w:pPr>
    </w:p>
    <w:p>
      <w:pPr>
        <w:spacing w:line="600" w:lineRule="exact"/>
        <w:rPr>
          <w:rFonts w:ascii="黑体" w:hAnsi="黑体" w:eastAsia="黑体"/>
          <w:sz w:val="32"/>
          <w:szCs w:val="32"/>
        </w:rPr>
      </w:pPr>
    </w:p>
    <w:p>
      <w:pPr>
        <w:spacing w:line="600" w:lineRule="exact"/>
        <w:rPr>
          <w:rFonts w:ascii="黑体" w:hAnsi="黑体" w:eastAsia="黑体"/>
          <w:sz w:val="32"/>
          <w:szCs w:val="32"/>
        </w:rPr>
      </w:pPr>
    </w:p>
    <w:p>
      <w:pPr>
        <w:spacing w:line="600" w:lineRule="exact"/>
        <w:rPr>
          <w:rFonts w:ascii="黑体" w:hAnsi="黑体" w:eastAsia="黑体"/>
          <w:sz w:val="32"/>
          <w:szCs w:val="32"/>
        </w:rPr>
      </w:pPr>
    </w:p>
    <w:p>
      <w:pPr>
        <w:spacing w:line="600" w:lineRule="exact"/>
        <w:rPr>
          <w:rFonts w:ascii="黑体" w:hAnsi="黑体" w:eastAsia="黑体"/>
          <w:sz w:val="32"/>
          <w:szCs w:val="32"/>
        </w:rPr>
      </w:pPr>
    </w:p>
    <w:p>
      <w:pPr>
        <w:spacing w:line="600" w:lineRule="exact"/>
        <w:rPr>
          <w:rFonts w:ascii="黑体" w:hAnsi="黑体" w:eastAsia="黑体"/>
          <w:sz w:val="32"/>
          <w:szCs w:val="32"/>
        </w:rPr>
      </w:pPr>
    </w:p>
    <w:p>
      <w:pPr>
        <w:spacing w:line="600" w:lineRule="exact"/>
        <w:rPr>
          <w:rFonts w:ascii="黑体" w:hAnsi="黑体" w:eastAsia="黑体"/>
          <w:sz w:val="32"/>
          <w:szCs w:val="32"/>
        </w:rPr>
      </w:pPr>
    </w:p>
    <w:p>
      <w:pPr>
        <w:spacing w:line="600" w:lineRule="exact"/>
        <w:rPr>
          <w:rFonts w:ascii="黑体" w:hAnsi="黑体" w:eastAsia="黑体"/>
          <w:sz w:val="32"/>
          <w:szCs w:val="32"/>
        </w:rPr>
      </w:pPr>
    </w:p>
    <w:p>
      <w:pPr>
        <w:spacing w:line="600" w:lineRule="exact"/>
        <w:rPr>
          <w:rFonts w:ascii="黑体" w:hAnsi="黑体" w:eastAsia="黑体"/>
          <w:sz w:val="32"/>
          <w:szCs w:val="32"/>
        </w:rPr>
      </w:pPr>
    </w:p>
    <w:p>
      <w:pPr>
        <w:spacing w:line="600" w:lineRule="exact"/>
        <w:rPr>
          <w:rFonts w:ascii="黑体" w:hAnsi="黑体" w:eastAsia="黑体"/>
          <w:sz w:val="32"/>
          <w:szCs w:val="32"/>
        </w:rPr>
        <w:sectPr>
          <w:footerReference r:id="rId6" w:type="default"/>
          <w:type w:val="nextColumn"/>
          <w:pgSz w:w="11906" w:h="16838"/>
          <w:pgMar w:top="1985" w:right="1474" w:bottom="1701" w:left="1644" w:header="851" w:footer="992" w:gutter="0"/>
          <w:pgNumType w:fmt="decimal"/>
          <w:cols w:space="425" w:num="1"/>
          <w:docGrid w:linePitch="312" w:charSpace="0"/>
        </w:sectPr>
      </w:pPr>
    </w:p>
    <w:p>
      <w:pPr>
        <w:spacing w:line="600" w:lineRule="exact"/>
        <w:ind w:firstLine="640" w:firstLineChars="200"/>
        <w:rPr>
          <w:rStyle w:val="8"/>
          <w:rFonts w:hint="default" w:cs="Times New Roman"/>
        </w:rPr>
      </w:pPr>
      <w:r>
        <w:rPr>
          <w:rStyle w:val="8"/>
          <w:rFonts w:hint="eastAsia" w:cs="Times New Roman"/>
        </w:rPr>
        <w:t>六</w:t>
      </w:r>
      <w:r>
        <w:rPr>
          <w:rStyle w:val="8"/>
          <w:rFonts w:hint="default" w:cs="Times New Roman"/>
        </w:rPr>
        <w:t>、政策支持情况</w:t>
      </w:r>
    </w:p>
    <w:p>
      <w:pPr>
        <w:pStyle w:val="11"/>
        <w:spacing w:line="500" w:lineRule="exact"/>
        <w:ind w:firstLine="560" w:firstLineChars="200"/>
        <w:rPr>
          <w:rFonts w:ascii="仿宋_GB2312" w:eastAsia="仿宋_GB2312" w:hAnsiTheme="majorEastAsia"/>
          <w:sz w:val="28"/>
          <w:szCs w:val="28"/>
        </w:rPr>
      </w:pPr>
      <w:r>
        <w:rPr>
          <w:rFonts w:hint="eastAsia" w:ascii="仿宋_GB2312" w:eastAsia="仿宋_GB2312" w:hAnsiTheme="majorEastAsia"/>
          <w:sz w:val="28"/>
          <w:szCs w:val="28"/>
        </w:rPr>
        <w:t>为推进千兆城市示范区</w:t>
      </w:r>
      <w:r>
        <w:rPr>
          <w:rFonts w:hint="eastAsia" w:ascii="仿宋_GB2312" w:eastAsia="仿宋_GB2312" w:hAnsiTheme="majorEastAsia"/>
          <w:sz w:val="28"/>
          <w:szCs w:val="28"/>
          <w:lang w:eastAsia="zh-CN"/>
        </w:rPr>
        <w:t>（</w:t>
      </w:r>
      <w:r>
        <w:rPr>
          <w:rFonts w:hint="eastAsia" w:ascii="仿宋_GB2312" w:eastAsia="仿宋_GB2312" w:hAnsiTheme="majorEastAsia"/>
          <w:sz w:val="28"/>
          <w:szCs w:val="28"/>
          <w:lang w:val="en-US" w:eastAsia="zh-CN"/>
        </w:rPr>
        <w:t>县</w:t>
      </w:r>
      <w:r>
        <w:rPr>
          <w:rFonts w:hint="eastAsia" w:ascii="仿宋_GB2312" w:eastAsia="仿宋_GB2312" w:hAnsiTheme="majorEastAsia"/>
          <w:sz w:val="28"/>
          <w:szCs w:val="28"/>
          <w:lang w:eastAsia="zh-CN"/>
        </w:rPr>
        <w:t>）</w:t>
      </w:r>
      <w:r>
        <w:rPr>
          <w:rFonts w:hint="eastAsia" w:ascii="仿宋_GB2312" w:eastAsia="仿宋_GB2312" w:hAnsiTheme="majorEastAsia"/>
          <w:sz w:val="28"/>
          <w:szCs w:val="28"/>
        </w:rPr>
        <w:t>建设，动态掌握各区县政府对“双千兆”网络建设的支持政策情况，请结合实际客观填写下表。</w:t>
      </w:r>
    </w:p>
    <w:tbl>
      <w:tblPr>
        <w:tblStyle w:val="7"/>
        <w:tblW w:w="9214"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05" w:hRule="atLeast"/>
        </w:trPr>
        <w:tc>
          <w:tcPr>
            <w:tcW w:w="9214" w:type="dxa"/>
            <w:tcBorders>
              <w:top w:val="single" w:color="000000" w:sz="2" w:space="0"/>
            </w:tcBorders>
          </w:tcPr>
          <w:p>
            <w:pPr>
              <w:pStyle w:val="11"/>
              <w:spacing w:line="500" w:lineRule="exact"/>
              <w:rPr>
                <w:rFonts w:ascii="仿宋_GB2312" w:eastAsia="仿宋_GB2312" w:hAnsiTheme="majorEastAsia"/>
                <w:sz w:val="28"/>
                <w:szCs w:val="28"/>
              </w:rPr>
            </w:pPr>
            <w:r>
              <w:rPr>
                <w:rFonts w:ascii="仿宋_GB2312" w:eastAsia="仿宋_GB2312" w:hAnsiTheme="majorEastAsia"/>
                <w:sz w:val="28"/>
                <w:szCs w:val="28"/>
              </w:rPr>
              <w:t>1</w:t>
            </w:r>
            <w:r>
              <w:rPr>
                <w:rFonts w:hint="eastAsia" w:ascii="仿宋_GB2312" w:eastAsia="仿宋_GB2312" w:hAnsiTheme="majorEastAsia"/>
                <w:sz w:val="28"/>
                <w:szCs w:val="28"/>
              </w:rPr>
              <w:t>.公共资源开放政策实施情况和典型场景公共资源的开放现状(可多选)</w:t>
            </w:r>
          </w:p>
          <w:p>
            <w:pPr>
              <w:pStyle w:val="11"/>
              <w:spacing w:line="500" w:lineRule="exact"/>
              <w:ind w:firstLine="560" w:firstLineChars="200"/>
              <w:rPr>
                <w:rFonts w:ascii="仿宋_GB2312" w:eastAsia="仿宋_GB2312" w:hAnsiTheme="majorEastAsia"/>
                <w:sz w:val="28"/>
                <w:szCs w:val="28"/>
              </w:rPr>
            </w:pPr>
            <w:r>
              <w:rPr>
                <w:rFonts w:hint="eastAsia" w:ascii="仿宋_GB2312" w:eastAsia="仿宋_GB2312" w:hAnsiTheme="majorEastAsia"/>
                <w:sz w:val="28"/>
                <w:szCs w:val="28"/>
              </w:rPr>
              <w:sym w:font="Wingdings 2" w:char="00A3"/>
            </w:r>
            <w:r>
              <w:rPr>
                <w:rFonts w:hint="eastAsia" w:ascii="仿宋_GB2312" w:eastAsia="仿宋_GB2312" w:hAnsiTheme="majorEastAsia"/>
                <w:sz w:val="28"/>
                <w:szCs w:val="28"/>
              </w:rPr>
              <w:t>政府办公大楼已开放公共资源用于“双千兆”网络建设</w:t>
            </w:r>
          </w:p>
          <w:p>
            <w:pPr>
              <w:pStyle w:val="11"/>
              <w:spacing w:line="500" w:lineRule="exact"/>
              <w:ind w:firstLine="560" w:firstLineChars="200"/>
              <w:rPr>
                <w:rFonts w:ascii="仿宋_GB2312" w:eastAsia="仿宋_GB2312" w:hAnsiTheme="majorEastAsia"/>
                <w:sz w:val="28"/>
                <w:szCs w:val="28"/>
              </w:rPr>
            </w:pPr>
            <w:r>
              <w:rPr>
                <w:rFonts w:hint="eastAsia" w:ascii="仿宋_GB2312" w:eastAsia="仿宋_GB2312" w:hAnsiTheme="majorEastAsia"/>
                <w:sz w:val="28"/>
                <w:szCs w:val="28"/>
              </w:rPr>
              <w:sym w:font="Wingdings 2" w:char="00A3"/>
            </w:r>
            <w:r>
              <w:rPr>
                <w:rFonts w:hint="eastAsia" w:ascii="仿宋_GB2312" w:eastAsia="仿宋_GB2312" w:hAnsiTheme="majorEastAsia"/>
                <w:sz w:val="28"/>
                <w:szCs w:val="28"/>
              </w:rPr>
              <w:t>公园、公共绿化带等已开放公共资源用于“双千兆”网络建设</w:t>
            </w:r>
          </w:p>
          <w:p>
            <w:pPr>
              <w:pStyle w:val="11"/>
              <w:spacing w:line="500" w:lineRule="exact"/>
              <w:ind w:firstLine="560" w:firstLineChars="200"/>
              <w:rPr>
                <w:rFonts w:ascii="仿宋_GB2312" w:eastAsia="仿宋_GB2312" w:hAnsiTheme="majorEastAsia"/>
                <w:sz w:val="28"/>
                <w:szCs w:val="28"/>
              </w:rPr>
            </w:pPr>
            <w:r>
              <w:rPr>
                <w:rFonts w:hint="eastAsia" w:ascii="仿宋_GB2312" w:eastAsia="仿宋_GB2312" w:hAnsiTheme="majorEastAsia"/>
                <w:sz w:val="28"/>
                <w:szCs w:val="28"/>
              </w:rPr>
              <w:sym w:font="Wingdings 2" w:char="00A3"/>
            </w:r>
            <w:r>
              <w:rPr>
                <w:rFonts w:hint="eastAsia" w:ascii="仿宋_GB2312" w:eastAsia="仿宋_GB2312" w:hAnsiTheme="majorEastAsia"/>
                <w:sz w:val="28"/>
                <w:szCs w:val="28"/>
              </w:rPr>
              <w:t>属于政府部门和国企管理的公路、铁路、桥梁、隧道、城市道路已开放用于“双千兆”网络建设</w:t>
            </w:r>
          </w:p>
          <w:p>
            <w:pPr>
              <w:pStyle w:val="11"/>
              <w:spacing w:line="500" w:lineRule="exact"/>
              <w:ind w:firstLine="560" w:firstLineChars="200"/>
              <w:rPr>
                <w:rFonts w:ascii="仿宋_GB2312" w:eastAsia="仿宋_GB2312" w:hAnsiTheme="majorEastAsia"/>
                <w:sz w:val="28"/>
                <w:szCs w:val="28"/>
              </w:rPr>
            </w:pPr>
            <w:r>
              <w:rPr>
                <w:rFonts w:hint="eastAsia" w:ascii="仿宋_GB2312" w:eastAsia="仿宋_GB2312" w:hAnsiTheme="majorEastAsia"/>
                <w:sz w:val="28"/>
                <w:szCs w:val="28"/>
              </w:rPr>
              <w:sym w:font="Wingdings 2" w:char="00A3"/>
            </w:r>
            <w:r>
              <w:rPr>
                <w:rFonts w:hint="eastAsia" w:ascii="仿宋_GB2312" w:eastAsia="仿宋_GB2312" w:hAnsiTheme="majorEastAsia"/>
                <w:sz w:val="28"/>
                <w:szCs w:val="28"/>
              </w:rPr>
              <w:t>路灯杆等社会杆塔已开放用于共享建设5G基站</w:t>
            </w:r>
          </w:p>
          <w:p>
            <w:pPr>
              <w:pStyle w:val="11"/>
              <w:spacing w:line="500" w:lineRule="exact"/>
              <w:ind w:firstLine="560" w:firstLineChars="200"/>
              <w:rPr>
                <w:rFonts w:ascii="仿宋_GB2312" w:eastAsia="仿宋_GB2312" w:hAnsiTheme="majorEastAsia"/>
                <w:sz w:val="28"/>
                <w:szCs w:val="28"/>
              </w:rPr>
            </w:pPr>
            <w:r>
              <w:rPr>
                <w:rFonts w:hint="eastAsia" w:ascii="仿宋_GB2312" w:eastAsia="仿宋_GB2312" w:hAnsiTheme="majorEastAsia"/>
                <w:sz w:val="28"/>
                <w:szCs w:val="28"/>
              </w:rPr>
              <w:sym w:font="Wingdings 2" w:char="00A3"/>
            </w:r>
            <w:r>
              <w:rPr>
                <w:rFonts w:hint="eastAsia" w:ascii="仿宋_GB2312" w:eastAsia="仿宋_GB2312" w:hAnsiTheme="majorEastAsia"/>
                <w:sz w:val="28"/>
                <w:szCs w:val="28"/>
              </w:rPr>
              <w:t>地铁已开放沿线公共资源用于开展5G建设</w:t>
            </w:r>
          </w:p>
          <w:p>
            <w:pPr>
              <w:pStyle w:val="11"/>
              <w:spacing w:line="500" w:lineRule="exact"/>
              <w:rPr>
                <w:rFonts w:hint="eastAsia" w:ascii="仿宋_GB2312" w:eastAsia="仿宋_GB2312" w:hAnsiTheme="majorEastAsia"/>
                <w:sz w:val="28"/>
                <w:szCs w:val="28"/>
                <w:lang w:eastAsia="zh-CN"/>
              </w:rPr>
            </w:pPr>
            <w:r>
              <w:rPr>
                <w:rFonts w:ascii="仿宋_GB2312" w:eastAsia="仿宋_GB2312" w:hAnsiTheme="majorEastAsia"/>
                <w:sz w:val="28"/>
                <w:szCs w:val="28"/>
              </w:rPr>
              <w:t>2</w:t>
            </w:r>
            <w:r>
              <w:rPr>
                <w:rFonts w:hint="eastAsia" w:ascii="仿宋_GB2312" w:eastAsia="仿宋_GB2312" w:hAnsiTheme="majorEastAsia"/>
                <w:sz w:val="28"/>
                <w:szCs w:val="28"/>
              </w:rPr>
              <w:t>.</w:t>
            </w:r>
            <w:bookmarkStart w:id="0" w:name="_Hlk127970557"/>
            <w:r>
              <w:rPr>
                <w:rFonts w:hint="eastAsia" w:ascii="仿宋_GB2312" w:eastAsia="仿宋_GB2312" w:hAnsiTheme="majorEastAsia"/>
                <w:sz w:val="28"/>
                <w:szCs w:val="28"/>
              </w:rPr>
              <w:t>辖区内共享路灯杆等社会杆塔资源建设的5G基站数量是</w:t>
            </w:r>
            <w:r>
              <w:rPr>
                <w:rFonts w:hint="eastAsia" w:ascii="仿宋_GB2312" w:eastAsia="仿宋_GB2312" w:hAnsiTheme="majorEastAsia"/>
                <w:sz w:val="28"/>
                <w:szCs w:val="28"/>
                <w:u w:val="single"/>
              </w:rPr>
              <w:t xml:space="preserve"> </w:t>
            </w:r>
            <w:r>
              <w:rPr>
                <w:rFonts w:ascii="仿宋_GB2312" w:eastAsia="仿宋_GB2312" w:hAnsiTheme="majorEastAsia"/>
                <w:sz w:val="28"/>
                <w:szCs w:val="28"/>
                <w:u w:val="single"/>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lang w:eastAsia="zh-CN"/>
              </w:rPr>
              <w:t>，</w:t>
            </w:r>
            <w:r>
              <w:rPr>
                <w:rFonts w:hint="eastAsia" w:ascii="仿宋_GB2312" w:eastAsia="仿宋_GB2312" w:hAnsiTheme="majorEastAsia"/>
                <w:sz w:val="28"/>
                <w:szCs w:val="28"/>
              </w:rPr>
              <w:t>占5G基站总数的比例是</w:t>
            </w:r>
            <w:r>
              <w:rPr>
                <w:rFonts w:ascii="仿宋_GB2312" w:eastAsia="仿宋_GB2312" w:hAnsiTheme="majorEastAsia"/>
                <w:sz w:val="28"/>
                <w:szCs w:val="28"/>
                <w:u w:val="single"/>
              </w:rPr>
              <w:t xml:space="preserve">    </w:t>
            </w:r>
            <w:r>
              <w:rPr>
                <w:rFonts w:hint="eastAsia" w:ascii="仿宋_GB2312" w:eastAsia="仿宋_GB2312" w:hAnsiTheme="majorEastAsia"/>
                <w:sz w:val="28"/>
                <w:szCs w:val="28"/>
                <w:lang w:eastAsia="zh-CN"/>
              </w:rPr>
              <w:t>；</w:t>
            </w:r>
          </w:p>
          <w:bookmarkEnd w:id="0"/>
          <w:p>
            <w:pPr>
              <w:pStyle w:val="11"/>
              <w:spacing w:line="500" w:lineRule="exact"/>
              <w:rPr>
                <w:rFonts w:ascii="仿宋_GB2312" w:eastAsia="仿宋_GB2312" w:hAnsiTheme="majorEastAsia"/>
                <w:sz w:val="28"/>
                <w:szCs w:val="28"/>
              </w:rPr>
            </w:pPr>
            <w:r>
              <w:rPr>
                <w:rFonts w:ascii="仿宋_GB2312" w:eastAsia="仿宋_GB2312" w:hAnsiTheme="majorEastAsia"/>
                <w:sz w:val="28"/>
                <w:szCs w:val="28"/>
              </w:rPr>
              <w:t>3</w:t>
            </w:r>
            <w:r>
              <w:rPr>
                <w:rFonts w:hint="eastAsia" w:ascii="仿宋_GB2312" w:eastAsia="仿宋_GB2312" w:hAnsiTheme="majorEastAsia"/>
                <w:sz w:val="28"/>
                <w:szCs w:val="28"/>
              </w:rPr>
              <w:t>.落实《住宅区和住宅建筑内光纤到户通信设施工程设计规范》和《住宅区和住宅建筑内光纤到户通信设施工程施工及验收规范》两项强制性国家标准情况(可多选)</w:t>
            </w:r>
          </w:p>
          <w:p>
            <w:pPr>
              <w:pStyle w:val="11"/>
              <w:spacing w:line="500" w:lineRule="exact"/>
              <w:ind w:firstLine="560" w:firstLineChars="200"/>
              <w:rPr>
                <w:rFonts w:ascii="仿宋_GB2312" w:eastAsia="仿宋_GB2312" w:hAnsiTheme="majorEastAsia"/>
                <w:sz w:val="28"/>
                <w:szCs w:val="28"/>
              </w:rPr>
            </w:pPr>
            <w:r>
              <w:rPr>
                <w:rFonts w:hint="eastAsia" w:ascii="仿宋_GB2312" w:eastAsia="仿宋_GB2312" w:hAnsiTheme="majorEastAsia"/>
                <w:sz w:val="28"/>
                <w:szCs w:val="28"/>
              </w:rPr>
              <w:sym w:font="Wingdings 2" w:char="00A3"/>
            </w:r>
            <w:r>
              <w:rPr>
                <w:rFonts w:hint="eastAsia" w:ascii="仿宋_GB2312" w:eastAsia="仿宋_GB2312" w:hAnsiTheme="majorEastAsia"/>
                <w:sz w:val="28"/>
                <w:szCs w:val="28"/>
              </w:rPr>
              <w:t>新建住宅区和住宅建筑的通信设施均采用光纤到户方式建设</w:t>
            </w:r>
          </w:p>
          <w:p>
            <w:pPr>
              <w:pStyle w:val="11"/>
              <w:spacing w:line="500" w:lineRule="exact"/>
              <w:ind w:firstLine="560" w:firstLineChars="200"/>
              <w:rPr>
                <w:rFonts w:ascii="仿宋_GB2312" w:eastAsia="仿宋_GB2312" w:hAnsiTheme="majorEastAsia"/>
                <w:sz w:val="28"/>
                <w:szCs w:val="28"/>
              </w:rPr>
            </w:pPr>
            <w:r>
              <w:rPr>
                <w:rFonts w:hint="eastAsia" w:ascii="仿宋_GB2312" w:eastAsia="仿宋_GB2312" w:hAnsiTheme="majorEastAsia"/>
                <w:sz w:val="28"/>
                <w:szCs w:val="28"/>
              </w:rPr>
              <w:sym w:font="Wingdings 2" w:char="00A3"/>
            </w:r>
            <w:r>
              <w:rPr>
                <w:rFonts w:hint="eastAsia" w:ascii="仿宋_GB2312" w:eastAsia="仿宋_GB2312" w:hAnsiTheme="majorEastAsia"/>
                <w:sz w:val="28"/>
                <w:szCs w:val="28"/>
              </w:rPr>
              <w:t>住宅区和住宅建筑内光纤到户通信设施工程设计满足多家电信业务经营者平等接入、用户可自由选择电信业务经营者的要求</w:t>
            </w:r>
          </w:p>
          <w:p>
            <w:pPr>
              <w:pStyle w:val="11"/>
              <w:spacing w:line="500" w:lineRule="exact"/>
              <w:ind w:firstLine="560" w:firstLineChars="200"/>
              <w:rPr>
                <w:rFonts w:ascii="仿宋_GB2312" w:eastAsia="仿宋_GB2312" w:hAnsiTheme="majorEastAsia"/>
                <w:sz w:val="28"/>
                <w:szCs w:val="28"/>
              </w:rPr>
            </w:pPr>
            <w:r>
              <w:rPr>
                <w:rFonts w:hint="eastAsia" w:ascii="仿宋_GB2312" w:eastAsia="仿宋_GB2312" w:hAnsiTheme="majorEastAsia"/>
                <w:sz w:val="28"/>
                <w:szCs w:val="28"/>
              </w:rPr>
              <w:sym w:font="Wingdings 2" w:char="00A3"/>
            </w:r>
            <w:r>
              <w:rPr>
                <w:rFonts w:hint="eastAsia" w:ascii="仿宋_GB2312" w:eastAsia="仿宋_GB2312" w:hAnsiTheme="majorEastAsia"/>
                <w:sz w:val="28"/>
                <w:szCs w:val="28"/>
              </w:rPr>
              <w:t xml:space="preserve">新建住宅区和住宅建筑内的地下通信管道、配线管网、电信间、设备间等通信设施与住宅区及住宅建筑同步建设、同步验收，已嵌入工程建设项目审批流程，纳入工程建设项目审批管理系统，通信部门开展联合审批服务。                                                     </w:t>
            </w:r>
          </w:p>
          <w:p>
            <w:pPr>
              <w:pStyle w:val="11"/>
              <w:spacing w:line="500" w:lineRule="exact"/>
              <w:rPr>
                <w:rFonts w:ascii="仿宋_GB2312" w:eastAsia="仿宋_GB2312" w:hAnsiTheme="majorEastAsia"/>
                <w:sz w:val="28"/>
                <w:szCs w:val="28"/>
              </w:rPr>
            </w:pPr>
            <w:r>
              <w:rPr>
                <w:rFonts w:ascii="仿宋_GB2312" w:eastAsia="仿宋_GB2312" w:hAnsiTheme="majorEastAsia"/>
                <w:sz w:val="28"/>
                <w:szCs w:val="28"/>
              </w:rPr>
              <w:t>4</w:t>
            </w:r>
            <w:r>
              <w:rPr>
                <w:rFonts w:hint="eastAsia" w:ascii="仿宋_GB2312" w:eastAsia="仿宋_GB2312" w:hAnsiTheme="majorEastAsia"/>
                <w:sz w:val="28"/>
                <w:szCs w:val="28"/>
              </w:rPr>
              <w:t>.将光纤网络建设嵌入到老旧小区/老旧建筑物改造等工程建设项目审批流程，并通过工程建设项目审批管理系统实行联合审图和联合验收(单选)</w:t>
            </w:r>
          </w:p>
          <w:p>
            <w:pPr>
              <w:pStyle w:val="11"/>
              <w:spacing w:line="500" w:lineRule="exact"/>
              <w:ind w:firstLine="560" w:firstLineChars="200"/>
              <w:rPr>
                <w:rFonts w:ascii="仿宋_GB2312" w:eastAsia="仿宋_GB2312" w:hAnsiTheme="majorEastAsia"/>
                <w:sz w:val="28"/>
                <w:szCs w:val="28"/>
              </w:rPr>
            </w:pPr>
            <w:r>
              <w:rPr>
                <w:rFonts w:hint="eastAsia" w:ascii="仿宋_GB2312" w:eastAsia="仿宋_GB2312" w:hAnsiTheme="majorEastAsia"/>
                <w:sz w:val="28"/>
                <w:szCs w:val="28"/>
              </w:rPr>
              <w:sym w:font="Wingdings 2" w:char="00A3"/>
            </w:r>
            <w:r>
              <w:rPr>
                <w:rFonts w:hint="eastAsia" w:ascii="仿宋_GB2312" w:eastAsia="仿宋_GB2312" w:hAnsiTheme="majorEastAsia"/>
                <w:sz w:val="28"/>
                <w:szCs w:val="28"/>
              </w:rPr>
              <w:t>已纳入工程建设项目审批管理系统，通信部门开展联合审批服务</w:t>
            </w:r>
          </w:p>
          <w:p>
            <w:pPr>
              <w:pStyle w:val="11"/>
              <w:spacing w:line="500" w:lineRule="exact"/>
              <w:ind w:firstLine="560" w:firstLineChars="200"/>
              <w:rPr>
                <w:rFonts w:ascii="仿宋_GB2312" w:eastAsia="仿宋_GB2312" w:hAnsiTheme="majorEastAsia"/>
                <w:sz w:val="28"/>
                <w:szCs w:val="28"/>
              </w:rPr>
            </w:pPr>
            <w:r>
              <w:rPr>
                <w:rFonts w:hint="eastAsia" w:ascii="仿宋_GB2312" w:eastAsia="仿宋_GB2312" w:hAnsiTheme="majorEastAsia"/>
                <w:sz w:val="28"/>
                <w:szCs w:val="28"/>
              </w:rPr>
              <w:sym w:font="Wingdings 2" w:char="00A3"/>
            </w:r>
            <w:r>
              <w:rPr>
                <w:rFonts w:hint="eastAsia" w:ascii="仿宋_GB2312" w:eastAsia="仿宋_GB2312" w:hAnsiTheme="majorEastAsia"/>
                <w:sz w:val="28"/>
                <w:szCs w:val="28"/>
              </w:rPr>
              <w:t>已嵌入工程建设项目审批流程，但通信部门未开展联合审批服务</w:t>
            </w:r>
          </w:p>
          <w:p>
            <w:pPr>
              <w:pStyle w:val="11"/>
              <w:spacing w:line="500" w:lineRule="exact"/>
              <w:ind w:firstLine="560" w:firstLineChars="200"/>
              <w:rPr>
                <w:rFonts w:ascii="仿宋_GB2312" w:eastAsia="仿宋_GB2312" w:hAnsiTheme="majorEastAsia"/>
                <w:sz w:val="28"/>
                <w:szCs w:val="28"/>
              </w:rPr>
            </w:pPr>
            <w:r>
              <w:rPr>
                <w:rFonts w:hint="eastAsia" w:ascii="仿宋_GB2312" w:eastAsia="仿宋_GB2312" w:hAnsiTheme="majorEastAsia"/>
                <w:sz w:val="28"/>
                <w:szCs w:val="28"/>
              </w:rPr>
              <w:sym w:font="Wingdings 2" w:char="00A3"/>
            </w:r>
            <w:r>
              <w:rPr>
                <w:rFonts w:hint="eastAsia" w:ascii="仿宋_GB2312" w:eastAsia="仿宋_GB2312" w:hAnsiTheme="majorEastAsia"/>
                <w:sz w:val="28"/>
                <w:szCs w:val="28"/>
              </w:rPr>
              <w:t xml:space="preserve">未嵌入工程建设项目审批流程   </w:t>
            </w:r>
          </w:p>
          <w:p>
            <w:pPr>
              <w:pStyle w:val="11"/>
              <w:spacing w:line="500" w:lineRule="exact"/>
              <w:rPr>
                <w:rFonts w:ascii="仿宋_GB2312" w:eastAsia="仿宋_GB2312" w:hAnsiTheme="majorEastAsia"/>
                <w:sz w:val="28"/>
                <w:szCs w:val="28"/>
              </w:rPr>
            </w:pPr>
            <w:r>
              <w:rPr>
                <w:rFonts w:ascii="仿宋_GB2312" w:eastAsia="仿宋_GB2312" w:hAnsiTheme="majorEastAsia"/>
                <w:sz w:val="28"/>
                <w:szCs w:val="28"/>
              </w:rPr>
              <w:t>5</w:t>
            </w:r>
            <w:r>
              <w:rPr>
                <w:rFonts w:hint="eastAsia" w:ascii="仿宋_GB2312" w:eastAsia="仿宋_GB2312" w:hAnsiTheme="majorEastAsia"/>
                <w:sz w:val="28"/>
                <w:szCs w:val="28"/>
              </w:rPr>
              <w:t>.政府对以下场景公共资源开放出台的租金减免政策(可多选)</w:t>
            </w:r>
          </w:p>
          <w:p>
            <w:pPr>
              <w:pStyle w:val="11"/>
              <w:spacing w:line="500" w:lineRule="exact"/>
              <w:ind w:firstLine="560" w:firstLineChars="200"/>
              <w:rPr>
                <w:rFonts w:ascii="仿宋_GB2312" w:eastAsia="仿宋_GB2312" w:hAnsiTheme="majorEastAsia"/>
                <w:sz w:val="28"/>
                <w:szCs w:val="28"/>
              </w:rPr>
            </w:pPr>
            <w:r>
              <w:rPr>
                <w:rFonts w:hint="eastAsia" w:ascii="仿宋_GB2312" w:eastAsia="仿宋_GB2312" w:hAnsiTheme="majorEastAsia"/>
                <w:sz w:val="28"/>
                <w:szCs w:val="28"/>
              </w:rPr>
              <w:sym w:font="Wingdings 2" w:char="00A3"/>
            </w:r>
            <w:r>
              <w:rPr>
                <w:rFonts w:hint="eastAsia" w:ascii="仿宋_GB2312" w:eastAsia="仿宋_GB2312" w:hAnsiTheme="majorEastAsia"/>
                <w:sz w:val="28"/>
                <w:szCs w:val="28"/>
              </w:rPr>
              <w:t>党政机关、行政事业单位办公区域免费开放</w:t>
            </w:r>
          </w:p>
          <w:p>
            <w:pPr>
              <w:pStyle w:val="11"/>
              <w:spacing w:line="500" w:lineRule="exact"/>
              <w:ind w:firstLine="560" w:firstLineChars="200"/>
              <w:rPr>
                <w:rFonts w:ascii="仿宋_GB2312" w:eastAsia="仿宋_GB2312" w:hAnsiTheme="majorEastAsia"/>
                <w:sz w:val="28"/>
                <w:szCs w:val="28"/>
              </w:rPr>
            </w:pPr>
            <w:r>
              <w:rPr>
                <w:rFonts w:hint="eastAsia" w:ascii="仿宋_GB2312" w:eastAsia="仿宋_GB2312" w:hAnsiTheme="majorEastAsia"/>
                <w:sz w:val="28"/>
                <w:szCs w:val="28"/>
              </w:rPr>
              <w:sym w:font="Wingdings 2" w:char="00A3"/>
            </w:r>
            <w:r>
              <w:rPr>
                <w:rFonts w:hint="eastAsia" w:ascii="仿宋_GB2312" w:eastAsia="仿宋_GB2312" w:hAnsiTheme="majorEastAsia"/>
                <w:sz w:val="28"/>
                <w:szCs w:val="28"/>
              </w:rPr>
              <w:t>属于政府部门和国企管理的公路、铁路、桥梁、隧道、城市道路等免费开放</w:t>
            </w:r>
          </w:p>
          <w:p>
            <w:pPr>
              <w:pStyle w:val="11"/>
              <w:spacing w:line="500" w:lineRule="exact"/>
              <w:ind w:firstLine="560" w:firstLineChars="200"/>
              <w:rPr>
                <w:rFonts w:ascii="仿宋_GB2312" w:eastAsia="仿宋_GB2312" w:hAnsiTheme="majorEastAsia"/>
                <w:sz w:val="28"/>
                <w:szCs w:val="28"/>
              </w:rPr>
            </w:pPr>
            <w:r>
              <w:rPr>
                <w:rFonts w:hint="eastAsia" w:ascii="仿宋_GB2312" w:eastAsia="仿宋_GB2312" w:hAnsiTheme="majorEastAsia"/>
                <w:sz w:val="28"/>
                <w:szCs w:val="28"/>
              </w:rPr>
              <w:sym w:font="Wingdings 2" w:char="00A3"/>
            </w:r>
            <w:r>
              <w:rPr>
                <w:rFonts w:hint="eastAsia" w:ascii="仿宋_GB2312" w:eastAsia="仿宋_GB2312" w:hAnsiTheme="majorEastAsia"/>
                <w:sz w:val="28"/>
                <w:szCs w:val="28"/>
              </w:rPr>
              <w:t>公园、公共绿化带、路灯杆等提出租金费用减免要求</w:t>
            </w:r>
          </w:p>
          <w:p>
            <w:pPr>
              <w:pStyle w:val="11"/>
              <w:spacing w:line="500" w:lineRule="exact"/>
              <w:ind w:firstLine="560" w:firstLineChars="200"/>
              <w:rPr>
                <w:rFonts w:ascii="仿宋_GB2312" w:eastAsia="仿宋_GB2312" w:hAnsiTheme="majorEastAsia"/>
                <w:sz w:val="28"/>
                <w:szCs w:val="28"/>
              </w:rPr>
            </w:pPr>
            <w:r>
              <w:rPr>
                <w:rFonts w:hint="eastAsia" w:ascii="仿宋_GB2312" w:eastAsia="仿宋_GB2312" w:hAnsiTheme="majorEastAsia"/>
                <w:sz w:val="28"/>
                <w:szCs w:val="28"/>
              </w:rPr>
              <w:sym w:font="Wingdings 2" w:char="00A3"/>
            </w:r>
            <w:r>
              <w:rPr>
                <w:rFonts w:hint="eastAsia" w:ascii="仿宋_GB2312" w:eastAsia="仿宋_GB2312" w:hAnsiTheme="majorEastAsia"/>
                <w:sz w:val="28"/>
                <w:szCs w:val="28"/>
              </w:rPr>
              <w:t>对辖区内的学校提出租金费用减免要求</w:t>
            </w:r>
          </w:p>
          <w:p>
            <w:pPr>
              <w:pStyle w:val="11"/>
              <w:spacing w:line="500" w:lineRule="exact"/>
              <w:rPr>
                <w:rFonts w:ascii="仿宋_GB2312" w:eastAsia="仿宋_GB2312" w:hAnsiTheme="majorEastAsia"/>
                <w:sz w:val="28"/>
                <w:szCs w:val="28"/>
              </w:rPr>
            </w:pPr>
            <w:r>
              <w:rPr>
                <w:rFonts w:ascii="仿宋_GB2312" w:eastAsia="仿宋_GB2312" w:hAnsiTheme="majorEastAsia"/>
                <w:sz w:val="28"/>
                <w:szCs w:val="28"/>
              </w:rPr>
              <w:t>6</w:t>
            </w:r>
            <w:r>
              <w:rPr>
                <w:rFonts w:hint="eastAsia" w:ascii="仿宋_GB2312" w:eastAsia="仿宋_GB2312" w:hAnsiTheme="majorEastAsia"/>
                <w:sz w:val="28"/>
                <w:szCs w:val="28"/>
              </w:rPr>
              <w:t>.地市支持“双千兆”网络建设发展联合工作机制建立情况(单选)</w:t>
            </w:r>
          </w:p>
          <w:p>
            <w:pPr>
              <w:pStyle w:val="11"/>
              <w:spacing w:line="500" w:lineRule="exact"/>
              <w:ind w:firstLine="560" w:firstLineChars="200"/>
              <w:rPr>
                <w:rFonts w:ascii="仿宋_GB2312" w:eastAsia="仿宋_GB2312" w:hAnsiTheme="majorEastAsia"/>
                <w:sz w:val="28"/>
                <w:szCs w:val="28"/>
              </w:rPr>
            </w:pPr>
            <w:r>
              <w:rPr>
                <w:rFonts w:hint="eastAsia" w:ascii="仿宋_GB2312" w:eastAsia="仿宋_GB2312" w:hAnsiTheme="majorEastAsia"/>
                <w:sz w:val="28"/>
                <w:szCs w:val="28"/>
              </w:rPr>
              <w:t>□已成立区县一把手牵头的工作机制</w:t>
            </w:r>
          </w:p>
          <w:p>
            <w:pPr>
              <w:pStyle w:val="11"/>
              <w:spacing w:line="500" w:lineRule="exact"/>
              <w:ind w:firstLine="560" w:firstLineChars="200"/>
              <w:rPr>
                <w:rFonts w:ascii="仿宋_GB2312" w:eastAsia="仿宋_GB2312" w:hAnsiTheme="majorEastAsia"/>
                <w:sz w:val="28"/>
                <w:szCs w:val="28"/>
              </w:rPr>
            </w:pPr>
            <w:r>
              <w:rPr>
                <w:rFonts w:hint="eastAsia" w:ascii="仿宋_GB2312" w:eastAsia="仿宋_GB2312" w:hAnsiTheme="majorEastAsia"/>
                <w:sz w:val="28"/>
                <w:szCs w:val="28"/>
              </w:rPr>
              <w:sym w:font="Wingdings 2" w:char="00A3"/>
            </w:r>
            <w:r>
              <w:rPr>
                <w:rFonts w:hint="eastAsia" w:ascii="仿宋_GB2312" w:eastAsia="仿宋_GB2312" w:hAnsiTheme="majorEastAsia"/>
                <w:sz w:val="28"/>
                <w:szCs w:val="28"/>
              </w:rPr>
              <w:t>已成立区县分管负责同志牵头的工作机制</w:t>
            </w:r>
          </w:p>
          <w:p>
            <w:pPr>
              <w:pStyle w:val="11"/>
              <w:spacing w:line="500" w:lineRule="exact"/>
              <w:ind w:firstLine="560" w:firstLineChars="200"/>
              <w:rPr>
                <w:rFonts w:ascii="仿宋_GB2312" w:eastAsia="仿宋_GB2312" w:hAnsiTheme="majorEastAsia"/>
                <w:sz w:val="28"/>
                <w:szCs w:val="28"/>
              </w:rPr>
            </w:pPr>
            <w:r>
              <w:rPr>
                <w:rFonts w:hint="eastAsia" w:ascii="仿宋_GB2312" w:eastAsia="仿宋_GB2312" w:hAnsiTheme="majorEastAsia"/>
                <w:sz w:val="28"/>
                <w:szCs w:val="28"/>
              </w:rPr>
              <w:t>□已成立由相关部门牵头的联合工作机制</w:t>
            </w:r>
          </w:p>
          <w:p>
            <w:pPr>
              <w:pStyle w:val="11"/>
              <w:spacing w:line="500" w:lineRule="exact"/>
              <w:ind w:firstLine="560" w:firstLineChars="200"/>
              <w:rPr>
                <w:rFonts w:ascii="仿宋_GB2312" w:eastAsia="仿宋_GB2312" w:hAnsiTheme="majorEastAsia"/>
                <w:sz w:val="28"/>
                <w:szCs w:val="28"/>
              </w:rPr>
            </w:pPr>
            <w:r>
              <w:rPr>
                <w:rFonts w:hint="eastAsia" w:ascii="仿宋_GB2312" w:eastAsia="仿宋_GB2312" w:hAnsiTheme="majorEastAsia"/>
                <w:sz w:val="28"/>
                <w:szCs w:val="28"/>
              </w:rPr>
              <w:t>□暂未成立相关工作机制</w:t>
            </w:r>
          </w:p>
          <w:p>
            <w:pPr>
              <w:pStyle w:val="11"/>
              <w:spacing w:line="500" w:lineRule="exact"/>
              <w:rPr>
                <w:rFonts w:ascii="仿宋_GB2312" w:eastAsia="仿宋_GB2312" w:hAnsiTheme="majorEastAsia"/>
                <w:sz w:val="28"/>
                <w:szCs w:val="28"/>
              </w:rPr>
            </w:pPr>
            <w:r>
              <w:rPr>
                <w:rFonts w:ascii="仿宋_GB2312" w:eastAsia="仿宋_GB2312" w:hAnsiTheme="majorEastAsia"/>
                <w:sz w:val="28"/>
                <w:szCs w:val="28"/>
              </w:rPr>
              <w:t>7</w:t>
            </w:r>
            <w:r>
              <w:rPr>
                <w:rFonts w:hint="eastAsia" w:ascii="仿宋_GB2312" w:eastAsia="仿宋_GB2312" w:hAnsiTheme="majorEastAsia"/>
                <w:sz w:val="28"/>
                <w:szCs w:val="28"/>
              </w:rPr>
              <w:t>.对已建立的疑难站址清单，通过协调督办已解决的站址占比</w:t>
            </w:r>
            <w:r>
              <w:rPr>
                <w:rFonts w:hint="eastAsia" w:ascii="仿宋_GB2312" w:eastAsia="仿宋_GB2312" w:hAnsiTheme="majorEastAsia"/>
                <w:sz w:val="28"/>
                <w:szCs w:val="28"/>
                <w:highlight w:val="none"/>
              </w:rPr>
              <w:t>是</w:t>
            </w:r>
            <w:r>
              <w:rPr>
                <w:rFonts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w:t>
            </w:r>
            <w:r>
              <w:rPr>
                <w:rFonts w:hint="eastAsia" w:ascii="仿宋_GB2312" w:eastAsia="仿宋_GB2312" w:hAnsiTheme="majorEastAsia"/>
                <w:sz w:val="28"/>
                <w:szCs w:val="28"/>
              </w:rPr>
              <w:t>(单选)</w:t>
            </w:r>
          </w:p>
          <w:p>
            <w:pPr>
              <w:pStyle w:val="11"/>
              <w:spacing w:line="500" w:lineRule="exact"/>
              <w:ind w:firstLine="560" w:firstLineChars="200"/>
              <w:rPr>
                <w:rFonts w:ascii="仿宋_GB2312" w:eastAsia="仿宋_GB2312" w:hAnsiTheme="majorEastAsia"/>
                <w:sz w:val="28"/>
                <w:szCs w:val="28"/>
              </w:rPr>
            </w:pPr>
            <w:r>
              <w:rPr>
                <w:rFonts w:hint="eastAsia" w:ascii="仿宋_GB2312" w:eastAsia="仿宋_GB2312" w:hAnsiTheme="majorEastAsia"/>
                <w:sz w:val="28"/>
                <w:szCs w:val="28"/>
              </w:rPr>
              <w:sym w:font="Wingdings 2" w:char="00A3"/>
            </w:r>
            <w:r>
              <w:rPr>
                <w:rFonts w:hint="eastAsia" w:ascii="仿宋_GB2312" w:eastAsia="仿宋_GB2312" w:hAnsiTheme="majorEastAsia"/>
                <w:sz w:val="28"/>
                <w:szCs w:val="28"/>
              </w:rPr>
              <w:t xml:space="preserve">80%(含)以上  </w:t>
            </w:r>
            <w:r>
              <w:rPr>
                <w:rFonts w:ascii="仿宋_GB2312" w:eastAsia="仿宋_GB2312" w:hAnsiTheme="majorEastAsia"/>
                <w:sz w:val="28"/>
                <w:szCs w:val="28"/>
              </w:rPr>
              <w:t xml:space="preserve">  </w:t>
            </w:r>
            <w:r>
              <w:rPr>
                <w:rFonts w:hint="eastAsia" w:ascii="仿宋_GB2312" w:eastAsia="仿宋_GB2312" w:hAnsiTheme="majorEastAsia"/>
                <w:sz w:val="28"/>
                <w:szCs w:val="28"/>
              </w:rPr>
              <w:t>□50%(含)到80%</w:t>
            </w:r>
            <w:r>
              <w:rPr>
                <w:rFonts w:hint="eastAsia" w:ascii="仿宋_GB2312" w:eastAsia="仿宋_GB2312" w:hAnsiTheme="majorEastAsia"/>
                <w:sz w:val="28"/>
                <w:szCs w:val="28"/>
                <w:lang w:val="en-US" w:eastAsia="zh-CN"/>
              </w:rPr>
              <w:t xml:space="preserve">   </w:t>
            </w:r>
            <w:r>
              <w:rPr>
                <w:rFonts w:hint="eastAsia" w:ascii="仿宋_GB2312" w:eastAsia="仿宋_GB2312" w:hAnsiTheme="majorEastAsia"/>
                <w:sz w:val="28"/>
                <w:szCs w:val="28"/>
              </w:rPr>
              <w:t>□20%(含)到50%</w:t>
            </w:r>
          </w:p>
          <w:p>
            <w:pPr>
              <w:pStyle w:val="11"/>
              <w:spacing w:line="500" w:lineRule="exact"/>
              <w:ind w:firstLine="560" w:firstLineChars="200"/>
              <w:rPr>
                <w:rFonts w:ascii="仿宋_GB2312" w:eastAsia="仿宋_GB2312" w:hAnsiTheme="majorEastAsia"/>
                <w:sz w:val="28"/>
                <w:szCs w:val="28"/>
              </w:rPr>
            </w:pPr>
            <w:r>
              <w:rPr>
                <w:rFonts w:hint="eastAsia" w:ascii="仿宋_GB2312" w:eastAsia="仿宋_GB2312" w:hAnsiTheme="majorEastAsia"/>
                <w:sz w:val="28"/>
                <w:szCs w:val="28"/>
              </w:rPr>
              <w:t xml:space="preserve">□5%(含)到20%   </w:t>
            </w:r>
            <w:r>
              <w:rPr>
                <w:rFonts w:ascii="仿宋_GB2312" w:eastAsia="仿宋_GB2312" w:hAnsiTheme="majorEastAsia"/>
                <w:sz w:val="28"/>
                <w:szCs w:val="28"/>
              </w:rPr>
              <w:t xml:space="preserve"> </w:t>
            </w:r>
            <w:r>
              <w:rPr>
                <w:rFonts w:hint="eastAsia" w:ascii="仿宋_GB2312" w:eastAsia="仿宋_GB2312" w:hAnsiTheme="majorEastAsia"/>
                <w:sz w:val="28"/>
                <w:szCs w:val="28"/>
              </w:rPr>
              <w:t>□5%以下</w:t>
            </w:r>
          </w:p>
          <w:p>
            <w:pPr>
              <w:pStyle w:val="11"/>
              <w:spacing w:line="500" w:lineRule="exact"/>
              <w:rPr>
                <w:rFonts w:ascii="仿宋_GB2312" w:eastAsia="仿宋_GB2312" w:hAnsiTheme="majorEastAsia"/>
                <w:sz w:val="28"/>
                <w:szCs w:val="28"/>
              </w:rPr>
            </w:pPr>
            <w:r>
              <w:rPr>
                <w:rFonts w:ascii="仿宋_GB2312" w:eastAsia="仿宋_GB2312" w:hAnsiTheme="majorEastAsia"/>
                <w:sz w:val="28"/>
                <w:szCs w:val="28"/>
              </w:rPr>
              <w:t>8.</w:t>
            </w:r>
            <w:r>
              <w:rPr>
                <w:rFonts w:hint="eastAsia" w:ascii="仿宋_GB2312" w:eastAsia="仿宋_GB2312" w:hAnsiTheme="majorEastAsia"/>
                <w:sz w:val="28"/>
                <w:szCs w:val="28"/>
              </w:rPr>
              <w:t>组织保障方面的经验做法。</w:t>
            </w:r>
          </w:p>
          <w:p>
            <w:pPr>
              <w:pStyle w:val="11"/>
              <w:spacing w:line="500" w:lineRule="exact"/>
              <w:ind w:firstLine="564" w:firstLineChars="200"/>
              <w:rPr>
                <w:rFonts w:ascii="仿宋_GB2312" w:eastAsia="仿宋_GB2312" w:hAnsiTheme="majorEastAsia"/>
                <w:sz w:val="28"/>
                <w:szCs w:val="28"/>
              </w:rPr>
            </w:pPr>
            <w:r>
              <w:rPr>
                <w:rFonts w:hint="eastAsia" w:ascii="仿宋_GB2312" w:eastAsia="仿宋_GB2312" w:cs="方正仿宋_GB2312" w:hAnsiTheme="majorEastAsia"/>
                <w:spacing w:val="1"/>
                <w:sz w:val="28"/>
                <w:szCs w:val="28"/>
              </w:rPr>
              <w:t>（</w:t>
            </w:r>
            <w:r>
              <w:rPr>
                <w:rFonts w:hint="eastAsia" w:ascii="仿宋_GB2312" w:eastAsia="仿宋_GB2312" w:hAnsiTheme="minorHAnsi" w:cstheme="minorBidi"/>
                <w:i/>
                <w:iCs/>
                <w:color w:val="000000"/>
                <w:kern w:val="2"/>
                <w:sz w:val="28"/>
                <w:szCs w:val="28"/>
                <w:lang w:val="en-US" w:eastAsia="zh-CN" w:bidi="ar-SA"/>
              </w:rPr>
              <w:t>不超过3</w:t>
            </w:r>
            <w:r>
              <w:rPr>
                <w:rFonts w:ascii="仿宋_GB2312" w:eastAsia="仿宋_GB2312" w:hAnsiTheme="minorHAnsi" w:cstheme="minorBidi"/>
                <w:i/>
                <w:iCs/>
                <w:color w:val="000000"/>
                <w:kern w:val="2"/>
                <w:sz w:val="28"/>
                <w:szCs w:val="28"/>
                <w:lang w:val="en-US" w:eastAsia="zh-CN" w:bidi="ar-SA"/>
              </w:rPr>
              <w:t>00</w:t>
            </w:r>
            <w:r>
              <w:rPr>
                <w:rFonts w:hint="eastAsia" w:ascii="仿宋_GB2312" w:eastAsia="仿宋_GB2312" w:hAnsiTheme="minorHAnsi" w:cstheme="minorBidi"/>
                <w:i/>
                <w:iCs/>
                <w:color w:val="000000"/>
                <w:kern w:val="2"/>
                <w:sz w:val="28"/>
                <w:szCs w:val="28"/>
                <w:lang w:val="en-US" w:eastAsia="zh-CN" w:bidi="ar-SA"/>
              </w:rPr>
              <w:t>字</w:t>
            </w:r>
            <w:r>
              <w:rPr>
                <w:rFonts w:hint="eastAsia" w:ascii="仿宋_GB2312" w:eastAsia="仿宋_GB2312" w:cs="方正仿宋_GB2312" w:hAnsiTheme="majorEastAsia"/>
                <w:spacing w:val="1"/>
                <w:sz w:val="28"/>
                <w:szCs w:val="28"/>
              </w:rPr>
              <w:t>）</w:t>
            </w:r>
          </w:p>
        </w:tc>
      </w:tr>
    </w:tbl>
    <w:p/>
    <w:p>
      <w:pPr>
        <w:spacing w:before="301" w:line="231" w:lineRule="auto"/>
        <w:ind w:left="305"/>
        <w:rPr>
          <w:rFonts w:ascii="仿宋" w:hAnsi="仿宋" w:eastAsia="仿宋" w:cs="仿宋"/>
          <w:spacing w:val="-12"/>
          <w:position w:val="-2"/>
          <w:sz w:val="26"/>
          <w:szCs w:val="26"/>
        </w:rPr>
      </w:pPr>
    </w:p>
    <w:p>
      <w:pPr>
        <w:spacing w:line="600" w:lineRule="exact"/>
        <w:rPr>
          <w:rFonts w:ascii="黑体" w:hAnsi="黑体" w:eastAsia="黑体"/>
          <w:sz w:val="32"/>
          <w:szCs w:val="32"/>
        </w:rPr>
        <w:sectPr>
          <w:footerReference r:id="rId7" w:type="default"/>
          <w:type w:val="nextColumn"/>
          <w:pgSz w:w="11906" w:h="16838"/>
          <w:pgMar w:top="1985" w:right="1474" w:bottom="1701" w:left="1644" w:header="851" w:footer="992" w:gutter="0"/>
          <w:pgNumType w:fmt="decimal"/>
          <w:cols w:space="425" w:num="1"/>
          <w:docGrid w:linePitch="312" w:charSpace="0"/>
        </w:sectPr>
      </w:pPr>
    </w:p>
    <w:p>
      <w:pPr>
        <w:spacing w:line="600" w:lineRule="exact"/>
        <w:rPr>
          <w:rFonts w:ascii="黑体" w:hAnsi="黑体" w:eastAsia="黑体"/>
          <w:sz w:val="32"/>
          <w:szCs w:val="32"/>
        </w:rPr>
        <w:sectPr>
          <w:type w:val="continuous"/>
          <w:pgSz w:w="11906" w:h="16838"/>
          <w:pgMar w:top="1985" w:right="1474" w:bottom="1701" w:left="1644" w:header="851" w:footer="992" w:gutter="0"/>
          <w:pgNumType w:fmt="decimal"/>
          <w:cols w:space="425" w:num="1"/>
          <w:docGrid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MT">
    <w:altName w:val="Times New Roman"/>
    <w:panose1 w:val="00000000000000000000"/>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imesNewRomanPS-ItalicMT">
    <w:altName w:val="Times New Roman"/>
    <w:panose1 w:val="00000000000000000000"/>
    <w:charset w:val="00"/>
    <w:family w:val="roma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1" w:lineRule="exact"/>
      <w:rPr>
        <w:rFonts w:ascii="仿宋" w:hAnsi="仿宋" w:eastAsia="仿宋" w:cs="仿宋"/>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3" w:lineRule="exact"/>
      <w:ind w:firstLine="7789"/>
      <w:rPr>
        <w:rFonts w:ascii="幼圆" w:hAnsi="幼圆" w:eastAsia="幼圆" w:cs="幼圆"/>
        <w:sz w:val="38"/>
        <w:szCs w:val="38"/>
      </w:rPr>
    </w:pPr>
    <w:r>
      <w:rPr>
        <w:sz w:val="3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3" w:lineRule="exact"/>
      <w:ind w:firstLine="234"/>
      <w:rPr>
        <w:rFonts w:ascii="宋体" w:hAnsi="宋体" w:eastAsia="宋体" w:cs="宋体"/>
        <w:sz w:val="36"/>
        <w:szCs w:val="36"/>
      </w:rPr>
    </w:pPr>
    <w:r>
      <w:rPr>
        <w:sz w:val="36"/>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2" w:lineRule="exact"/>
      <w:ind w:left="8344"/>
      <w:rPr>
        <w:rFonts w:ascii="宋体" w:hAnsi="宋体" w:eastAsia="宋体" w:cs="宋体"/>
        <w:sz w:val="27"/>
        <w:szCs w:val="27"/>
      </w:rPr>
    </w:pPr>
    <w:r>
      <w:rPr>
        <w:sz w:val="27"/>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35" w:lineRule="exact"/>
      <w:ind w:left="395"/>
      <w:rPr>
        <w:rFonts w:ascii="宋体" w:hAnsi="宋体" w:eastAsia="宋体" w:cs="宋体"/>
        <w:sz w:val="25"/>
        <w:szCs w:val="25"/>
      </w:rPr>
    </w:pPr>
    <w:r>
      <w:rPr>
        <w:sz w:val="25"/>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2YTIzNjFiYjA4MmE1N2JkYWQzYWM5YzAyZTA0MjAifQ=="/>
  </w:docVars>
  <w:rsids>
    <w:rsidRoot w:val="79AC6AA0"/>
    <w:rsid w:val="7412579C"/>
    <w:rsid w:val="79AC6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character" w:customStyle="1" w:styleId="8">
    <w:name w:val="fontstyle01"/>
    <w:basedOn w:val="6"/>
    <w:autoRedefine/>
    <w:qFormat/>
    <w:uiPriority w:val="0"/>
    <w:rPr>
      <w:rFonts w:hint="eastAsia" w:ascii="黑体" w:hAnsi="黑体" w:eastAsia="黑体"/>
      <w:color w:val="000000"/>
      <w:sz w:val="32"/>
      <w:szCs w:val="32"/>
    </w:rPr>
  </w:style>
  <w:style w:type="character" w:customStyle="1" w:styleId="9">
    <w:name w:val="fontstyle21"/>
    <w:basedOn w:val="6"/>
    <w:autoRedefine/>
    <w:qFormat/>
    <w:uiPriority w:val="0"/>
    <w:rPr>
      <w:rFonts w:hint="default" w:ascii="TimesNewRomanPSMT" w:hAnsi="TimesNewRomanPSMT"/>
      <w:color w:val="000000"/>
      <w:sz w:val="32"/>
      <w:szCs w:val="32"/>
    </w:rPr>
  </w:style>
  <w:style w:type="character" w:customStyle="1" w:styleId="10">
    <w:name w:val="fontstyle31"/>
    <w:basedOn w:val="6"/>
    <w:autoRedefine/>
    <w:qFormat/>
    <w:uiPriority w:val="0"/>
    <w:rPr>
      <w:rFonts w:hint="eastAsia" w:ascii="仿宋_GB2312" w:eastAsia="仿宋_GB2312"/>
      <w:color w:val="000000"/>
      <w:sz w:val="34"/>
      <w:szCs w:val="34"/>
    </w:rPr>
  </w:style>
  <w:style w:type="paragraph" w:styleId="11">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2024-04-03T08:56:00Z</dcterms:created>
  <dc:creator>姚昱轩</dc:creator>
  <cp:lastModifiedBy>姚昱轩</cp:lastModifiedBy>
  <dcterms:modified xsi:type="dcterms:W3CDTF">2024-04-03T08:56:59Z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8464E75C2FD14CC49F549B909993B9D2_11</vt:lpwstr>
  </property>
</Properties>
</file>